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2302"/>
        <w:gridCol w:w="1418"/>
        <w:gridCol w:w="1566"/>
        <w:gridCol w:w="1836"/>
        <w:gridCol w:w="2551"/>
      </w:tblGrid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D412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BD4121" w:rsidRPr="00BD4121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09.01.2019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 w:rsidR="00BD412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10:30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D412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YDYO </w:t>
            </w:r>
            <w:r w:rsidR="00BD4121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Öğretim Elemanları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Salonu</w:t>
            </w:r>
            <w:r w:rsidR="00BD4121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-A blok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</w:t>
            </w:r>
            <w:r w:rsidR="00BD412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E92026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D4121" w:rsidRPr="00E92026" w:rsidRDefault="006B70A1" w:rsidP="000F6A39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Yönetimi ve Akreditasyon Alt Çalışma Birimlerinin Belirlenmesi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743D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Toplantıyı Düzenleyen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Komisyon/Alt Komisyon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E92026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6B70A1" w:rsidRPr="00C75433" w:rsidRDefault="006B70A1" w:rsidP="006B70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 Burcu Gökgöz Kurt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B743D1" w:rsidRPr="00C75433" w:rsidRDefault="00B743D1" w:rsidP="00B743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  <w:r w:rsidR="00BD4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B7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0"/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6B70A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Alt çalışma birimlerinin belirlenmesi 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6B70A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Akredi</w:t>
            </w:r>
            <w:r w:rsidRP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tasyon sürecini tecrübe etmiş kurumlarla iletişim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6B70A1" w:rsidRDefault="006B70A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Akademik birim ve komisyonda yapılan çalışmaların görünürlüğü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B743D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B743D1" w:rsidP="00BD4121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21AE" w:rsidRDefault="00B743D1" w:rsidP="002221AE">
      <w:bookmarkStart w:id="1" w:name="MinuteItems"/>
      <w:bookmarkStart w:id="2" w:name="MinuteAdditional"/>
      <w:bookmarkEnd w:id="1"/>
      <w:bookmarkEnd w:id="2"/>
      <w:r>
        <w:t xml:space="preserve"> </w:t>
      </w:r>
    </w:p>
    <w:tbl>
      <w:tblPr>
        <w:tblW w:w="10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4"/>
        <w:gridCol w:w="2781"/>
        <w:gridCol w:w="2835"/>
        <w:gridCol w:w="2055"/>
      </w:tblGrid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1.Gündem 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8C6D27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4121" w:rsidRPr="00C75433" w:rsidRDefault="006B70A1" w:rsidP="008C6D27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Komisyon ve Alt çalışma gruplarının belirlenmesi</w:t>
            </w:r>
          </w:p>
        </w:tc>
      </w:tr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vAlign w:val="center"/>
          </w:tcPr>
          <w:p w:rsidR="00B743D1" w:rsidRPr="00C75433" w:rsidRDefault="006B70A1" w:rsidP="00CC118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Anket sonuçlarının tamamlanmasının ardından </w:t>
            </w:r>
            <w:r w:rsidR="000F6A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çalışma grubu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üyelerinin </w:t>
            </w:r>
            <w:r w:rsidR="00CC1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tespiti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için görüşmelerin yapılıp 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kesin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üyelerin belirlenmesine karar verildi. </w:t>
            </w:r>
          </w:p>
        </w:tc>
      </w:tr>
      <w:tr w:rsidR="00B743D1" w:rsidRPr="00C75433" w:rsidTr="002B6BC0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B743D1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D4121" w:rsidRDefault="006B70A1" w:rsidP="00AF6A5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Kalite ve Akreditasyon süreciyle ilgili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YDYO öğretim elemanlarına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verilen bilgilendirme toplantısının ardından gönderilen anket ile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komisyonlarda/akademik birimlerde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 almak isteyen öğretim elemanla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rının belirlenmesi amaçlandı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</w:t>
            </w:r>
          </w:p>
          <w:p w:rsidR="006B70A1" w:rsidRDefault="006B70A1" w:rsidP="006B70A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6B70A1" w:rsidRDefault="006B70A1" w:rsidP="006B70A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Böylelikle Kalite Yönetimi ve Akreditasyon Komisyonu’nun yanı sıra</w:t>
            </w:r>
          </w:p>
          <w:p w:rsidR="006B70A1" w:rsidRDefault="006B70A1" w:rsidP="006B70A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6B70A1" w:rsidRDefault="006B70A1" w:rsidP="006B70A1">
            <w:pPr>
              <w:pStyle w:val="TmBykHarfBalk"/>
              <w:numPr>
                <w:ilvl w:val="0"/>
                <w:numId w:val="1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Eğitim Programı tasarımı ve aktarımı</w:t>
            </w:r>
          </w:p>
          <w:p w:rsidR="006B70A1" w:rsidRDefault="006B70A1" w:rsidP="006B70A1">
            <w:pPr>
              <w:pStyle w:val="TmBykHarfBalk"/>
              <w:numPr>
                <w:ilvl w:val="0"/>
                <w:numId w:val="1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Ölçme-Değerlendirme</w:t>
            </w:r>
          </w:p>
          <w:p w:rsidR="006B70A1" w:rsidRDefault="006B70A1" w:rsidP="006B70A1">
            <w:pPr>
              <w:pStyle w:val="TmBykHarfBalk"/>
              <w:numPr>
                <w:ilvl w:val="0"/>
                <w:numId w:val="1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Mesleki Gelişim</w:t>
            </w:r>
          </w:p>
          <w:p w:rsidR="006B70A1" w:rsidRDefault="006B70A1" w:rsidP="006B70A1">
            <w:pPr>
              <w:pStyle w:val="TmBykHarfBalk"/>
              <w:numPr>
                <w:ilvl w:val="0"/>
                <w:numId w:val="1"/>
              </w:numP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Öğrenci Desteği ve Hizmetleri</w:t>
            </w:r>
          </w:p>
          <w:p w:rsidR="006B70A1" w:rsidRDefault="006B70A1" w:rsidP="006B70A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D4121" w:rsidRDefault="006B70A1" w:rsidP="00CC11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şeklinde dört ayrı alt çalışma grubu oluşturulmasının g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erekliliği üzerine görüşüldü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u grupları gözlemleme ve takip gör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evlerini gerçekleştirmek için ise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Kalite Yönetimi ve Akreditasyon Komisyon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u’n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da çalışan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bir ya da iki üyenin belirle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nebileceği kararına varıldı.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Bu alanlarda etkin çalışabilecek aday kişi ve kişiler ü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zerine de görüşmeler yapıldı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</w:t>
            </w:r>
          </w:p>
          <w:p w:rsidR="00BD4121" w:rsidRPr="00C75433" w:rsidRDefault="00BD412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B743D1" w:rsidRPr="00C75433" w:rsidRDefault="006B70A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lastRenderedPageBreak/>
              <w:t xml:space="preserve">Akademik Birimlerin üyelerinin belirlenmesi ve kişilerle görüşmelerin yapılması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3D1" w:rsidRPr="00C75433" w:rsidRDefault="006B70A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Bölüm Başkan ve Yardımcıları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6B70A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11.01.2019-18.01.2019</w:t>
            </w:r>
          </w:p>
        </w:tc>
      </w:tr>
      <w:tr w:rsidR="002B6BC0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2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</w:t>
            </w:r>
            <w:r w:rsid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Akredi</w:t>
            </w:r>
            <w:r w:rsidR="006B70A1" w:rsidRP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tasyon sürecini tecrübe etmiş kurumlarla iletişim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2B6BC0" w:rsidRPr="00C75433" w:rsidRDefault="006B70A1" w:rsidP="00AF6A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Eskişehir Anadolu Üniversitesi 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Hazırlık Programı ve yetkililerine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ziyaret 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gerçekleştirilmesine</w:t>
            </w:r>
            <w:r w:rsidR="003E3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karar verildi.</w:t>
            </w:r>
          </w:p>
        </w:tc>
      </w:tr>
      <w:tr w:rsidR="002B6BC0" w:rsidRPr="00C75433" w:rsidTr="008C6D27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6B70A1" w:rsidRPr="00C75433" w:rsidRDefault="006B70A1" w:rsidP="00AF6A5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YÖKAK dış değerlendirme sürecinde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,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pilot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üniversitelerle görüşme girişimlerinin öncesinde, akreditasyon süreciyle ilgili bilgi almak amacıyla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dış kuruluşlardan akreditasyon almış olan Eskişehir Anadolu Üniversitesi İngilizce Hazırlık Okulu ile iletişime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geçilerek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görüşme gerçekleştirilmesinin uygun olacağı üzerine konuşuldu. Söz konusu üniversitenin köklü bir üniversite olması, hali hazırda akredite olmuş olması ve mesafenin yakınlığı bu kararın alınmasında etkili olmuştur. 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3E3A92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Ziyaret için E. Anadolu Üni. İngilizce Hazırlık Okulu Müdürü ile iletişime geçilmesi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3E3A92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Öğr. Gör. Dilşah Kalay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3E3A92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09.01.2019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3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E3A92" w:rsidRPr="006B70A1" w:rsidRDefault="003E3A92" w:rsidP="003E3A92">
            <w:pPr>
              <w:pStyle w:val="TmBykHarfBalk"/>
              <w:spacing w:line="360" w:lineRule="auto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 w:rsidRPr="006B70A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Akademik birim ve komisyonda yapılan çalışmaların görünürlüğü</w:t>
            </w: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3E3A92" w:rsidRPr="00C75433" w:rsidRDefault="003E3A92" w:rsidP="003E3A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Ölçme ve Değerlendirme Birimi’nde çalışan öğretim elemanlarının yaptıkları çalışmaların sözleşmelerine yansımasını sağla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mak amacıyla sözleşmelere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 bir maddenin eklenmesi için Rektörlük makamına </w:t>
            </w:r>
            <w:r w:rsidR="00AF6A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teklif önerisinde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bulunulmasına karar verildi.</w:t>
            </w:r>
          </w:p>
        </w:tc>
      </w:tr>
      <w:tr w:rsidR="003E3A92" w:rsidRPr="00C75433" w:rsidTr="00E45B36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3E3A92" w:rsidRDefault="003E3A92" w:rsidP="00AF6A5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Ölçme-Değerlendirme Birimi, YDYO bünyesindeki diğer akademik birimler gibi gönüllülük esasına göre çalışmaktadır.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Yapılan yoğun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çalışma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ların,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birimde çalışan öğretim elemanlarına dolaylı veya direkt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herhangi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bir getirisi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olmaması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ve ilgili kişilere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ders yükü açısından da kâğıt üzerinde pozitif bir ayrımcılık sağlanamadığı üzerine görüşüldü.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Özverili çalışmaların ödülle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ndirilmesinin ve kalite sürecind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e artacak olan yükün öğretim elemanl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arı açısından yükü hafifletici v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e motivasyonu artırıcı bir etkisi olması gerektiğine karar verildi. </w:t>
            </w:r>
          </w:p>
          <w:p w:rsidR="003E3A92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3E3A92" w:rsidRDefault="003E3A92" w:rsidP="00CC11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Ölçme-Değerlendirme Birimi dönem boyunca diğer birimlere göre en fazla iş yükü olan birim o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lmakla beraber, kalite sürecinde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bu yük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ün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ikiye katlanacağı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konusunda hemfikir olundu. Bu konuyla ilgili olarak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çalışmaların görünürlüğünün artması ve tanınması amacıyla ö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ğretim elemanı sözleşmelerine bazı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akademik birim </w:t>
            </w:r>
            <w:r w:rsidR="00AF6A5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(öncelikli olarak ölçme ve değerlendirme)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çalışanlar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ına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ek bir puan 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verilebilmesi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gerekliliği üzerine konuşul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du.</w:t>
            </w:r>
          </w:p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Rektörlük Makamına İlgili kararla ilgili teklif önerisinde bulunulması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3A92" w:rsidRPr="00C75433" w:rsidRDefault="003E3A92" w:rsidP="00CC1183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Bölüm Başkanlığı/Mdr.Yard</w:t>
            </w:r>
            <w:r w:rsidR="00CC118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.</w:t>
            </w:r>
            <w:bookmarkStart w:id="3" w:name="_GoBack"/>
            <w:bookmarkEnd w:id="3"/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3E3A92" w:rsidRPr="00C75433" w:rsidTr="00E45B36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3E3A92" w:rsidRPr="00C75433" w:rsidRDefault="003E3A92" w:rsidP="003E3A92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BD4121" w:rsidRDefault="00BD4121" w:rsidP="002221AE"/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4429"/>
        <w:gridCol w:w="3189"/>
        <w:gridCol w:w="2055"/>
      </w:tblGrid>
      <w:tr w:rsidR="00BD4121" w:rsidRPr="00C75433" w:rsidTr="00E45B36">
        <w:trPr>
          <w:trHeight w:val="340"/>
        </w:trPr>
        <w:tc>
          <w:tcPr>
            <w:tcW w:w="10203" w:type="dxa"/>
            <w:gridSpan w:val="4"/>
            <w:shd w:val="clear" w:color="auto" w:fill="F3F3F3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BD4121" w:rsidRPr="00C75433" w:rsidTr="00E45B36">
        <w:trPr>
          <w:trHeight w:val="340"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Ad/ Soyad</w:t>
            </w: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     Komisyon Görevi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121" w:rsidRPr="00C75433" w:rsidTr="00E45B36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D4121" w:rsidRDefault="00BD4121" w:rsidP="00BD4121">
            <w:pPr>
              <w:pStyle w:val="TmBykHarfBalk"/>
              <w:spacing w:line="48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29" w:type="dxa"/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4121" w:rsidRPr="00C75433" w:rsidRDefault="00BD4121" w:rsidP="00BD4121">
            <w:pPr>
              <w:pStyle w:val="Balk1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3D1" w:rsidRDefault="002B6BC0" w:rsidP="002221AE">
      <w:r>
        <w:t xml:space="preserve">  </w:t>
      </w:r>
      <w:r w:rsidR="00BD4121">
        <w:t xml:space="preserve">09.01.2016 </w:t>
      </w:r>
    </w:p>
    <w:p w:rsidR="00BD4121" w:rsidRDefault="00BD4121" w:rsidP="002221AE"/>
    <w:p w:rsidR="00BD4121" w:rsidRDefault="00BD4121" w:rsidP="002221AE"/>
    <w:p w:rsidR="00BD4121" w:rsidRDefault="00BD4121" w:rsidP="002221AE"/>
    <w:p w:rsidR="00BD4121" w:rsidRDefault="00BD4121" w:rsidP="002221AE"/>
    <w:p w:rsidR="00BD4121" w:rsidRDefault="00BD4121" w:rsidP="002221AE"/>
    <w:p w:rsidR="00BD4121" w:rsidRPr="002221AE" w:rsidRDefault="00BD4121" w:rsidP="002221AE"/>
    <w:sectPr w:rsidR="00BD4121" w:rsidRPr="002221AE" w:rsidSect="002221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E9" w:rsidRDefault="004944E9" w:rsidP="002B6BC0">
      <w:pPr>
        <w:spacing w:after="0" w:line="240" w:lineRule="auto"/>
      </w:pPr>
      <w:r>
        <w:separator/>
      </w:r>
    </w:p>
  </w:endnote>
  <w:endnote w:type="continuationSeparator" w:id="0">
    <w:p w:rsidR="004944E9" w:rsidRDefault="004944E9" w:rsidP="002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92160"/>
      <w:docPartObj>
        <w:docPartGallery w:val="Page Numbers (Bottom of Page)"/>
        <w:docPartUnique/>
      </w:docPartObj>
    </w:sdtPr>
    <w:sdtEndPr/>
    <w:sdtContent>
      <w:p w:rsidR="002B6BC0" w:rsidRDefault="002B6BC0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BC0" w:rsidRDefault="002B6B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1183" w:rsidRPr="00CC118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2B6BC0" w:rsidRDefault="002B6B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1183" w:rsidRPr="00CC118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E9" w:rsidRDefault="004944E9" w:rsidP="002B6BC0">
      <w:pPr>
        <w:spacing w:after="0" w:line="240" w:lineRule="auto"/>
      </w:pPr>
      <w:r>
        <w:separator/>
      </w:r>
    </w:p>
  </w:footnote>
  <w:footnote w:type="continuationSeparator" w:id="0">
    <w:p w:rsidR="004944E9" w:rsidRDefault="004944E9" w:rsidP="002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85"/>
      <w:gridCol w:w="7643"/>
    </w:tblGrid>
    <w:tr w:rsidR="002B6BC0" w:rsidRPr="002221AE" w:rsidTr="00075462">
      <w:trPr>
        <w:trHeight w:val="1413"/>
        <w:jc w:val="center"/>
      </w:trPr>
      <w:tc>
        <w:tcPr>
          <w:tcW w:w="2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6BC0" w:rsidRPr="002221AE" w:rsidRDefault="002B6BC0" w:rsidP="002B6BC0">
          <w:pPr>
            <w:jc w:val="center"/>
          </w:pPr>
          <w:r w:rsidRPr="002B6BC0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18EFD1F" wp14:editId="05914B68">
                <wp:simplePos x="0" y="0"/>
                <wp:positionH relativeFrom="column">
                  <wp:posOffset>366395</wp:posOffset>
                </wp:positionH>
                <wp:positionV relativeFrom="paragraph">
                  <wp:posOffset>33655</wp:posOffset>
                </wp:positionV>
                <wp:extent cx="784860" cy="833120"/>
                <wp:effectExtent l="0" t="0" r="0" b="5080"/>
                <wp:wrapNone/>
                <wp:docPr id="6" name="Resim 6" descr="http://www.dpu.edu.tr/app/views/panel/ckfinder/userfiles/1/images/logolar/dpu-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pu.edu.tr/app/views/panel/ckfinder/userfiles/1/images/logolar/dpu-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KÜTAHYA DUMLUPINAR ÜNİVERSİTESİ</w:t>
          </w:r>
        </w:p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 xml:space="preserve">YABANCI DİLLER YÜKSEKOKULU </w:t>
          </w:r>
        </w:p>
        <w:p w:rsidR="002B6BC0" w:rsidRPr="002B6BC0" w:rsidRDefault="002B6BC0" w:rsidP="002B6BC0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br/>
            <w:t>KALİTE YÖNETİMİ VE AKREDİTASYON KOMİSYONU</w:t>
          </w:r>
        </w:p>
        <w:p w:rsidR="002B6BC0" w:rsidRPr="002B6BC0" w:rsidRDefault="002B6BC0" w:rsidP="002B6BC0">
          <w:pPr>
            <w:pStyle w:val="stbilgi"/>
            <w:rPr>
              <w:rFonts w:asciiTheme="majorBidi" w:hAnsiTheme="majorBidi" w:cstheme="majorBidi"/>
              <w:b/>
            </w:rPr>
          </w:pPr>
        </w:p>
        <w:p w:rsidR="002B6BC0" w:rsidRPr="002B6BC0" w:rsidRDefault="002B6BC0" w:rsidP="002B6BC0">
          <w:pPr>
            <w:pStyle w:val="stbilgi"/>
            <w:jc w:val="center"/>
            <w:rPr>
              <w:rFonts w:asciiTheme="minorBidi" w:hAnsiTheme="min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TOPLANTI TUTANAK FORMU</w:t>
          </w:r>
        </w:p>
      </w:tc>
    </w:tr>
  </w:tbl>
  <w:p w:rsidR="002B6BC0" w:rsidRPr="002B6BC0" w:rsidRDefault="002B6BC0" w:rsidP="002B6B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197E"/>
    <w:multiLevelType w:val="hybridMultilevel"/>
    <w:tmpl w:val="9C8AF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C669D"/>
    <w:rsid w:val="000F6A39"/>
    <w:rsid w:val="002221AE"/>
    <w:rsid w:val="002B6BC0"/>
    <w:rsid w:val="003E3A92"/>
    <w:rsid w:val="004944E9"/>
    <w:rsid w:val="006B70A1"/>
    <w:rsid w:val="006C3F38"/>
    <w:rsid w:val="00AF6A53"/>
    <w:rsid w:val="00B743D1"/>
    <w:rsid w:val="00BD4121"/>
    <w:rsid w:val="00C144FA"/>
    <w:rsid w:val="00CC1183"/>
    <w:rsid w:val="00E92026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2354A-F7E6-49EF-B5C5-57D47E68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A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B743D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21AE"/>
  </w:style>
  <w:style w:type="paragraph" w:customStyle="1" w:styleId="TmBykHarfBalk">
    <w:name w:val="Tümü Büyük Harf Başlık"/>
    <w:basedOn w:val="Normal"/>
    <w:rsid w:val="002221A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2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743D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C0"/>
  </w:style>
  <w:style w:type="paragraph" w:styleId="BalonMetni">
    <w:name w:val="Balloon Text"/>
    <w:basedOn w:val="Normal"/>
    <w:link w:val="BalonMetniChar"/>
    <w:uiPriority w:val="99"/>
    <w:semiHidden/>
    <w:unhideWhenUsed/>
    <w:rsid w:val="00BD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user361</cp:lastModifiedBy>
  <cp:revision>2</cp:revision>
  <cp:lastPrinted>2019-01-09T08:09:00Z</cp:lastPrinted>
  <dcterms:created xsi:type="dcterms:W3CDTF">2019-02-05T07:00:00Z</dcterms:created>
  <dcterms:modified xsi:type="dcterms:W3CDTF">2019-02-05T07:00:00Z</dcterms:modified>
</cp:coreProperties>
</file>