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8504"/>
        <w:gridCol w:w="1134"/>
      </w:tblGrid>
      <w:tr w:rsidR="00CA635E" w:rsidRPr="008E446D" w:rsidTr="0058721B">
        <w:trPr>
          <w:trHeight w:val="560"/>
        </w:trPr>
        <w:tc>
          <w:tcPr>
            <w:tcW w:w="10774" w:type="dxa"/>
            <w:gridSpan w:val="3"/>
            <w:vAlign w:val="center"/>
          </w:tcPr>
          <w:p w:rsidR="00CA635E" w:rsidRDefault="00CA635E" w:rsidP="005872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</w:rPr>
            </w:pPr>
          </w:p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294640</wp:posOffset>
                  </wp:positionH>
                  <wp:positionV relativeFrom="paragraph">
                    <wp:posOffset>127000</wp:posOffset>
                  </wp:positionV>
                  <wp:extent cx="624840" cy="614680"/>
                  <wp:effectExtent l="0" t="0" r="381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</w:rPr>
            </w:pPr>
            <w:r w:rsidRPr="008E446D">
              <w:rPr>
                <w:b/>
              </w:rPr>
              <w:t xml:space="preserve">                               T.C.</w:t>
            </w:r>
          </w:p>
          <w:p w:rsidR="00CA635E" w:rsidRPr="008E446D" w:rsidRDefault="00CA635E" w:rsidP="0058721B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5735320</wp:posOffset>
                  </wp:positionH>
                  <wp:positionV relativeFrom="paragraph">
                    <wp:posOffset>-455295</wp:posOffset>
                  </wp:positionV>
                  <wp:extent cx="935990" cy="50228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446D">
              <w:rPr>
                <w:b/>
              </w:rPr>
              <w:t xml:space="preserve">                               KÜTAHYA DUMLUPINAR ÜNİVERSİTESİ                                                   </w:t>
            </w:r>
          </w:p>
          <w:p w:rsidR="00CA635E" w:rsidRPr="008E446D" w:rsidRDefault="00CA635E" w:rsidP="0058721B">
            <w:pPr>
              <w:spacing w:after="0" w:line="240" w:lineRule="auto"/>
              <w:jc w:val="center"/>
            </w:pPr>
            <w:r w:rsidRPr="008E446D">
              <w:rPr>
                <w:b/>
              </w:rPr>
              <w:t>DIŞ İLİŞKİLER KOORDİNATÖRLÜĞÜ</w:t>
            </w:r>
          </w:p>
          <w:p w:rsidR="00CA635E" w:rsidRPr="008E446D" w:rsidRDefault="00CA635E" w:rsidP="0058721B">
            <w:pPr>
              <w:spacing w:after="0" w:line="240" w:lineRule="auto"/>
              <w:jc w:val="center"/>
            </w:pPr>
          </w:p>
          <w:p w:rsidR="00CA635E" w:rsidRDefault="00CA635E" w:rsidP="0058721B">
            <w:pPr>
              <w:spacing w:after="0" w:line="240" w:lineRule="auto"/>
              <w:jc w:val="center"/>
              <w:rPr>
                <w:b/>
              </w:rPr>
            </w:pPr>
            <w:r w:rsidRPr="008E446D">
              <w:rPr>
                <w:b/>
              </w:rPr>
              <w:t>ERASMUS+  KA103</w:t>
            </w:r>
            <w:r>
              <w:rPr>
                <w:b/>
              </w:rPr>
              <w:t xml:space="preserve"> (</w:t>
            </w:r>
            <w:r w:rsidRPr="008E446D">
              <w:rPr>
                <w:b/>
              </w:rPr>
              <w:t>2018-2019 AKADEMİK YILI</w:t>
            </w:r>
            <w:r>
              <w:rPr>
                <w:b/>
              </w:rPr>
              <w:t>)</w:t>
            </w:r>
            <w:r w:rsidRPr="008E446D"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ve KA108 KONSORSİYUMLAR (2017-2019 Proje Dönemi)</w:t>
            </w:r>
            <w:r w:rsidRPr="008E446D">
              <w:rPr>
                <w:b/>
              </w:rPr>
              <w:t xml:space="preserve"> </w:t>
            </w:r>
          </w:p>
          <w:p w:rsidR="00CA635E" w:rsidRPr="008E446D" w:rsidRDefault="00CA635E" w:rsidP="0058721B">
            <w:pPr>
              <w:spacing w:after="0" w:line="240" w:lineRule="auto"/>
              <w:jc w:val="center"/>
            </w:pPr>
            <w:r w:rsidRPr="008E446D">
              <w:rPr>
                <w:b/>
              </w:rPr>
              <w:t>PERSONEL DERS VERME ve EĞİTİM ALMA HAREKETLİLİĞİ DEĞERLENDİRME KRİTERLERİ</w:t>
            </w:r>
          </w:p>
        </w:tc>
      </w:tr>
      <w:tr w:rsidR="00CA635E" w:rsidRPr="008E446D" w:rsidTr="0058721B">
        <w:trPr>
          <w:trHeight w:val="560"/>
        </w:trPr>
        <w:tc>
          <w:tcPr>
            <w:tcW w:w="10774" w:type="dxa"/>
            <w:gridSpan w:val="3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>Yapılan başvurular,</w:t>
            </w:r>
            <w:r>
              <w:rPr>
                <w:sz w:val="18"/>
                <w:szCs w:val="18"/>
              </w:rPr>
              <w:t xml:space="preserve"> </w:t>
            </w:r>
            <w:r w:rsidRPr="00C162EE">
              <w:rPr>
                <w:sz w:val="18"/>
                <w:szCs w:val="18"/>
              </w:rPr>
              <w:t>Kütahya</w:t>
            </w:r>
            <w:r w:rsidRPr="008E446D">
              <w:rPr>
                <w:sz w:val="18"/>
                <w:szCs w:val="18"/>
              </w:rPr>
              <w:t xml:space="preserve"> Dumlupınar Üniversitesi Rektörlüğü tarafından oluşturulacak bir komisyon tarafından değerlendirilecek olup, Seçim komisyonu değerlendirme sırasında aşağıda açıkça belirtilen madde ve </w:t>
            </w:r>
            <w:proofErr w:type="gramStart"/>
            <w:r w:rsidRPr="008E446D">
              <w:rPr>
                <w:sz w:val="18"/>
                <w:szCs w:val="18"/>
              </w:rPr>
              <w:t>kriterlere</w:t>
            </w:r>
            <w:proofErr w:type="gramEnd"/>
            <w:r w:rsidRPr="008E446D">
              <w:rPr>
                <w:sz w:val="18"/>
                <w:szCs w:val="18"/>
              </w:rPr>
              <w:t xml:space="preserve"> göre puanlama yaparak “Asil” ve “Yedek” personeli belirleyecektir. Bu </w:t>
            </w:r>
            <w:proofErr w:type="gramStart"/>
            <w:r w:rsidRPr="008E446D">
              <w:rPr>
                <w:sz w:val="18"/>
                <w:szCs w:val="18"/>
              </w:rPr>
              <w:t>kriterler</w:t>
            </w:r>
            <w:proofErr w:type="gramEnd"/>
            <w:r w:rsidRPr="008E446D">
              <w:rPr>
                <w:sz w:val="18"/>
                <w:szCs w:val="18"/>
              </w:rPr>
              <w:t xml:space="preserve">, Ulusal Ajans tarafından hazırlanan </w:t>
            </w:r>
            <w:proofErr w:type="spellStart"/>
            <w:r w:rsidRPr="008E446D">
              <w:rPr>
                <w:sz w:val="18"/>
                <w:szCs w:val="18"/>
              </w:rPr>
              <w:t>Erasmus</w:t>
            </w:r>
            <w:proofErr w:type="spellEnd"/>
            <w:r w:rsidRPr="008E446D">
              <w:rPr>
                <w:sz w:val="18"/>
                <w:szCs w:val="18"/>
              </w:rPr>
              <w:t xml:space="preserve">+ Uygulama El Kitabı’nda belirlenen öncelikler göz önünde bulundurularak </w:t>
            </w:r>
            <w:r w:rsidRPr="008E446D">
              <w:rPr>
                <w:b/>
                <w:sz w:val="18"/>
                <w:szCs w:val="18"/>
                <w:u w:val="single"/>
              </w:rPr>
              <w:t>Üniversite Yönetiminin onayıyla</w:t>
            </w:r>
            <w:r w:rsidRPr="008E446D">
              <w:rPr>
                <w:sz w:val="18"/>
                <w:szCs w:val="18"/>
              </w:rPr>
              <w:t xml:space="preserve"> hazırlanmıştır.</w:t>
            </w:r>
          </w:p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Başvuru Kriteri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>Hareketlilik gerçekleştirilmek istenen yükseköğretim kurumu ile DPÜ arasında, ilgili bölümde geçerli bir ikili anlaşma bulunan ve/veya başvurusu geçerli olan bir akademik veya idari personel ise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+20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1.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 xml:space="preserve">2017/2018 Akademik Yılı’nda </w:t>
            </w:r>
            <w:proofErr w:type="spellStart"/>
            <w:r w:rsidRPr="008E446D">
              <w:rPr>
                <w:sz w:val="18"/>
                <w:szCs w:val="18"/>
              </w:rPr>
              <w:t>Erasmus</w:t>
            </w:r>
            <w:proofErr w:type="spellEnd"/>
            <w:r w:rsidRPr="008E446D">
              <w:rPr>
                <w:sz w:val="18"/>
                <w:szCs w:val="18"/>
              </w:rPr>
              <w:t>+ hibesinden faydalandı ise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-9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2.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 xml:space="preserve">2016/2017 Akademik Yılı’nda </w:t>
            </w:r>
            <w:proofErr w:type="spellStart"/>
            <w:r w:rsidRPr="008E446D">
              <w:rPr>
                <w:sz w:val="18"/>
                <w:szCs w:val="18"/>
              </w:rPr>
              <w:t>Erasmus</w:t>
            </w:r>
            <w:proofErr w:type="spellEnd"/>
            <w:r w:rsidRPr="008E446D">
              <w:rPr>
                <w:sz w:val="18"/>
                <w:szCs w:val="18"/>
              </w:rPr>
              <w:t>+ hibesinden faydalandı ise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-7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3.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 xml:space="preserve">2015/2016 Akademik Yılı’nda </w:t>
            </w:r>
            <w:proofErr w:type="spellStart"/>
            <w:r w:rsidRPr="008E446D">
              <w:rPr>
                <w:sz w:val="18"/>
                <w:szCs w:val="18"/>
              </w:rPr>
              <w:t>Erasmus</w:t>
            </w:r>
            <w:proofErr w:type="spellEnd"/>
            <w:r w:rsidRPr="008E446D">
              <w:rPr>
                <w:sz w:val="18"/>
                <w:szCs w:val="18"/>
              </w:rPr>
              <w:t>+ hibesinden faydalandı ise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-5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4.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 xml:space="preserve">2014/2015 Akademik Yılı’nda </w:t>
            </w:r>
            <w:proofErr w:type="spellStart"/>
            <w:r w:rsidRPr="008E446D">
              <w:rPr>
                <w:sz w:val="18"/>
                <w:szCs w:val="18"/>
              </w:rPr>
              <w:t>Erasmus</w:t>
            </w:r>
            <w:proofErr w:type="spellEnd"/>
            <w:r w:rsidRPr="008E446D">
              <w:rPr>
                <w:sz w:val="18"/>
                <w:szCs w:val="18"/>
              </w:rPr>
              <w:t>+ hibesinden faydalandı ise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-3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5.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E446D">
              <w:rPr>
                <w:sz w:val="18"/>
                <w:szCs w:val="18"/>
              </w:rPr>
              <w:t>Vatandaşı olunan ülkeye gidilecekse</w:t>
            </w:r>
            <w:r w:rsidRPr="008E446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-2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6.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 xml:space="preserve">Daha önce </w:t>
            </w:r>
            <w:proofErr w:type="spellStart"/>
            <w:r w:rsidRPr="008E446D">
              <w:rPr>
                <w:sz w:val="18"/>
                <w:szCs w:val="18"/>
              </w:rPr>
              <w:t>Erasmus</w:t>
            </w:r>
            <w:proofErr w:type="spellEnd"/>
            <w:r w:rsidRPr="008E446D">
              <w:rPr>
                <w:sz w:val="18"/>
                <w:szCs w:val="18"/>
              </w:rPr>
              <w:t xml:space="preserve">+ Personel </w:t>
            </w:r>
            <w:proofErr w:type="spellStart"/>
            <w:r w:rsidRPr="008E446D">
              <w:rPr>
                <w:sz w:val="18"/>
                <w:szCs w:val="18"/>
              </w:rPr>
              <w:t>Hareketliliği’nden</w:t>
            </w:r>
            <w:proofErr w:type="spellEnd"/>
            <w:r w:rsidRPr="008E446D">
              <w:rPr>
                <w:sz w:val="18"/>
                <w:szCs w:val="18"/>
              </w:rPr>
              <w:t xml:space="preserve"> faydalanmamış ise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+5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7.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E446D">
              <w:rPr>
                <w:sz w:val="18"/>
                <w:szCs w:val="18"/>
              </w:rPr>
              <w:t>Daha önce personel hareketliliği (</w:t>
            </w:r>
            <w:proofErr w:type="spellStart"/>
            <w:r w:rsidRPr="008E446D">
              <w:rPr>
                <w:sz w:val="18"/>
                <w:szCs w:val="18"/>
              </w:rPr>
              <w:t>Giden+Gelen</w:t>
            </w:r>
            <w:proofErr w:type="spellEnd"/>
            <w:r w:rsidRPr="008E446D">
              <w:rPr>
                <w:sz w:val="18"/>
                <w:szCs w:val="18"/>
              </w:rPr>
              <w:t>) gerçekleştirilmeyen ülke/üniversiteye gidilecek ise (Davet mektubunu başvuru anında ibraz etmek koşuluyla)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+5 puan</w:t>
            </w:r>
          </w:p>
        </w:tc>
      </w:tr>
      <w:tr w:rsidR="00CA635E" w:rsidRPr="008E446D" w:rsidTr="0058721B">
        <w:trPr>
          <w:trHeight w:val="89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8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E446D">
              <w:rPr>
                <w:sz w:val="18"/>
                <w:szCs w:val="18"/>
              </w:rPr>
              <w:t xml:space="preserve">Üniversite </w:t>
            </w:r>
            <w:r>
              <w:rPr>
                <w:sz w:val="18"/>
                <w:szCs w:val="18"/>
              </w:rPr>
              <w:t>/</w:t>
            </w:r>
            <w:r w:rsidRPr="008E446D">
              <w:rPr>
                <w:sz w:val="18"/>
                <w:szCs w:val="18"/>
              </w:rPr>
              <w:t>Fa</w:t>
            </w:r>
            <w:r>
              <w:rPr>
                <w:sz w:val="18"/>
                <w:szCs w:val="18"/>
              </w:rPr>
              <w:t>külte/Enstitü/Y.O/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>/Bölüm vb</w:t>
            </w:r>
            <w:r w:rsidRPr="008E446D">
              <w:rPr>
                <w:sz w:val="18"/>
                <w:szCs w:val="18"/>
              </w:rPr>
              <w:t xml:space="preserve">. </w:t>
            </w:r>
            <w:proofErr w:type="spellStart"/>
            <w:r w:rsidRPr="008E446D">
              <w:rPr>
                <w:sz w:val="18"/>
                <w:szCs w:val="18"/>
              </w:rPr>
              <w:t>Erasmus</w:t>
            </w:r>
            <w:proofErr w:type="spellEnd"/>
            <w:r w:rsidRPr="008E446D">
              <w:rPr>
                <w:sz w:val="18"/>
                <w:szCs w:val="18"/>
              </w:rPr>
              <w:t xml:space="preserve">+ Koordinatörü ise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8E446D">
              <w:rPr>
                <w:sz w:val="18"/>
                <w:szCs w:val="18"/>
              </w:rPr>
              <w:t xml:space="preserve"> (en az 6 aydır görev yapıyor olmak)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+6 puan</w:t>
            </w:r>
          </w:p>
        </w:tc>
      </w:tr>
      <w:tr w:rsidR="00CA635E" w:rsidRPr="008E446D" w:rsidTr="0058721B">
        <w:trPr>
          <w:trHeight w:val="89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9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E446D">
              <w:rPr>
                <w:sz w:val="18"/>
                <w:szCs w:val="18"/>
              </w:rPr>
              <w:t>Üniversite</w:t>
            </w:r>
            <w:r>
              <w:rPr>
                <w:sz w:val="18"/>
                <w:szCs w:val="18"/>
              </w:rPr>
              <w:t xml:space="preserve">/ </w:t>
            </w:r>
            <w:r w:rsidRPr="008E446D">
              <w:rPr>
                <w:sz w:val="18"/>
                <w:szCs w:val="18"/>
              </w:rPr>
              <w:t>Fakülte/Enstitü/Y.O/</w:t>
            </w:r>
            <w:proofErr w:type="gramStart"/>
            <w:r w:rsidRPr="008E446D">
              <w:rPr>
                <w:sz w:val="18"/>
                <w:szCs w:val="18"/>
              </w:rPr>
              <w:t>M.Y.O</w:t>
            </w:r>
            <w:proofErr w:type="gramEnd"/>
            <w:r w:rsidRPr="008E446D">
              <w:rPr>
                <w:sz w:val="18"/>
                <w:szCs w:val="18"/>
              </w:rPr>
              <w:t xml:space="preserve">/Bölüm vs. </w:t>
            </w:r>
            <w:proofErr w:type="spellStart"/>
            <w:r w:rsidRPr="008E446D">
              <w:rPr>
                <w:sz w:val="18"/>
                <w:szCs w:val="18"/>
              </w:rPr>
              <w:t>Erasmus</w:t>
            </w:r>
            <w:proofErr w:type="spellEnd"/>
            <w:r w:rsidRPr="008E446D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 xml:space="preserve">Yardımcı </w:t>
            </w:r>
            <w:r w:rsidRPr="008E446D">
              <w:rPr>
                <w:sz w:val="18"/>
                <w:szCs w:val="18"/>
              </w:rPr>
              <w:t xml:space="preserve">Koordinatörü ise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8E446D">
              <w:rPr>
                <w:sz w:val="18"/>
                <w:szCs w:val="18"/>
              </w:rPr>
              <w:t xml:space="preserve"> (en az 6 aydır görev yapıyor olmak</w:t>
            </w:r>
            <w:r w:rsidRPr="008E446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+3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b/>
                <w:i/>
                <w:sz w:val="18"/>
                <w:szCs w:val="18"/>
                <w:u w:val="single"/>
              </w:rPr>
              <w:t>0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>Eğitim Alma Hareketliliğinden faydalanacak olan</w:t>
            </w:r>
            <w:r>
              <w:rPr>
                <w:sz w:val="18"/>
                <w:szCs w:val="18"/>
              </w:rPr>
              <w:t xml:space="preserve">,  ders verme yükümlülüğü olmayan </w:t>
            </w:r>
            <w:proofErr w:type="gramStart"/>
            <w:r>
              <w:rPr>
                <w:sz w:val="18"/>
                <w:szCs w:val="18"/>
              </w:rPr>
              <w:t>personel</w:t>
            </w:r>
            <w:r w:rsidRPr="008E446D">
              <w:rPr>
                <w:sz w:val="18"/>
                <w:szCs w:val="18"/>
              </w:rPr>
              <w:t xml:space="preserve">  ise</w:t>
            </w:r>
            <w:proofErr w:type="gramEnd"/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+2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b/>
                <w:i/>
                <w:sz w:val="18"/>
                <w:szCs w:val="18"/>
                <w:u w:val="single"/>
              </w:rPr>
              <w:t>1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E446D">
              <w:rPr>
                <w:sz w:val="18"/>
                <w:szCs w:val="18"/>
              </w:rPr>
              <w:t>Engelli personel ise (Belgelendirmek kaydıyla)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+5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b/>
                <w:i/>
                <w:sz w:val="18"/>
                <w:szCs w:val="18"/>
                <w:u w:val="single"/>
              </w:rPr>
              <w:t>2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>Gazi personel ile şehit ve gazi yakını personel ise (Belgelendirmek kaydıyla)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+5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b/>
                <w:i/>
                <w:sz w:val="18"/>
                <w:szCs w:val="18"/>
                <w:u w:val="single"/>
              </w:rPr>
              <w:t>3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 2017-2018 </w:t>
            </w:r>
            <w:r w:rsidRPr="008E446D">
              <w:rPr>
                <w:sz w:val="18"/>
                <w:szCs w:val="18"/>
              </w:rPr>
              <w:t xml:space="preserve">Akademik Yılı’nda </w:t>
            </w: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+ kapsamında </w:t>
            </w:r>
            <w:r w:rsidRPr="008E446D">
              <w:rPr>
                <w:sz w:val="18"/>
                <w:szCs w:val="18"/>
              </w:rPr>
              <w:t xml:space="preserve">Gelen Öğrencilere İngilizce ders veren öğretim elemanı/üyesi ise (birden fazla ders veren öğretim elemanı </w:t>
            </w:r>
            <w:r>
              <w:rPr>
                <w:sz w:val="18"/>
                <w:szCs w:val="18"/>
              </w:rPr>
              <w:t>toplamda +5</w:t>
            </w:r>
            <w:r w:rsidRPr="008E446D">
              <w:rPr>
                <w:sz w:val="18"/>
                <w:szCs w:val="18"/>
              </w:rPr>
              <w:t xml:space="preserve"> puan alır)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3</w:t>
            </w:r>
            <w:r w:rsidRPr="008E446D">
              <w:rPr>
                <w:b/>
                <w:sz w:val="18"/>
                <w:szCs w:val="18"/>
              </w:rPr>
              <w:t xml:space="preserve">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b/>
                <w:i/>
                <w:sz w:val="18"/>
                <w:szCs w:val="18"/>
                <w:u w:val="single"/>
              </w:rPr>
              <w:t>4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2017-2018 </w:t>
            </w:r>
            <w:r w:rsidRPr="008E446D">
              <w:rPr>
                <w:sz w:val="18"/>
                <w:szCs w:val="18"/>
              </w:rPr>
              <w:t xml:space="preserve">Akademik Yılı’nda </w:t>
            </w: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+ kapsamında </w:t>
            </w:r>
            <w:r w:rsidRPr="008E446D">
              <w:rPr>
                <w:sz w:val="18"/>
                <w:szCs w:val="18"/>
              </w:rPr>
              <w:t xml:space="preserve">Gelen Öğrencilere verilen İngilizce dersi asiste eden Arş Gör. </w:t>
            </w:r>
            <w:proofErr w:type="gramStart"/>
            <w:r w:rsidRPr="008E446D">
              <w:rPr>
                <w:sz w:val="18"/>
                <w:szCs w:val="18"/>
              </w:rPr>
              <w:t>ise</w:t>
            </w:r>
            <w:proofErr w:type="gramEnd"/>
            <w:r w:rsidRPr="008E44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8E446D">
              <w:rPr>
                <w:sz w:val="18"/>
                <w:szCs w:val="18"/>
              </w:rPr>
              <w:t xml:space="preserve"> (yardımcı olunan ders sayısı artarsa puan değişmeyecektir)</w:t>
            </w:r>
            <w:r w:rsidRPr="00C162EE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+3 puan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15.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 xml:space="preserve"> Kriter</w:t>
            </w:r>
          </w:p>
        </w:tc>
        <w:tc>
          <w:tcPr>
            <w:tcW w:w="850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E446D">
              <w:rPr>
                <w:sz w:val="18"/>
                <w:szCs w:val="18"/>
              </w:rPr>
              <w:t xml:space="preserve">İsteğe bağlı Yabancı Dil Sözlü Mülakat sınavının %10’u ek puan olarak verilecek olup ilgili sınav 100 puan üzerinden değerlendirilecektir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b/>
                <w:sz w:val="18"/>
                <w:szCs w:val="18"/>
              </w:rPr>
              <w:t>%10</w:t>
            </w:r>
          </w:p>
        </w:tc>
      </w:tr>
      <w:tr w:rsidR="00CA635E" w:rsidRPr="008E446D" w:rsidTr="0058721B">
        <w:trPr>
          <w:trHeight w:val="56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16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9638" w:type="dxa"/>
            <w:gridSpan w:val="2"/>
            <w:vAlign w:val="center"/>
          </w:tcPr>
          <w:p w:rsidR="00CA635E" w:rsidRPr="008E446D" w:rsidRDefault="00CA635E" w:rsidP="0058721B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8E446D">
              <w:rPr>
                <w:sz w:val="18"/>
                <w:szCs w:val="18"/>
              </w:rPr>
              <w:t xml:space="preserve">KPDS, ÜDS, YDS, YÖKDİL, TOEFL sınav sonuç belgesi ibraz eden </w:t>
            </w:r>
            <w:r w:rsidRPr="008E446D">
              <w:rPr>
                <w:b/>
                <w:sz w:val="18"/>
                <w:szCs w:val="18"/>
                <w:u w:val="single"/>
              </w:rPr>
              <w:t>Ders Verme Hareketliliğinden</w:t>
            </w:r>
            <w:r w:rsidRPr="008E446D">
              <w:rPr>
                <w:sz w:val="18"/>
                <w:szCs w:val="18"/>
              </w:rPr>
              <w:t xml:space="preserve"> faydalanmak isteyen akademik personel ise, aşağıdaki tabloda belirtildiği şekilde puan verilecektir.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  <w:tbl>
            <w:tblPr>
              <w:tblW w:w="85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  <w:gridCol w:w="2835"/>
            </w:tblGrid>
            <w:tr w:rsidR="00CA635E" w:rsidRPr="008E446D" w:rsidTr="0058721B">
              <w:trPr>
                <w:trHeight w:val="56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b/>
                      <w:sz w:val="18"/>
                      <w:szCs w:val="18"/>
                    </w:rPr>
                    <w:t>Tüm Akademik ve İdari Personel için geçerli olacak puan aralıkları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b/>
                      <w:sz w:val="18"/>
                      <w:szCs w:val="18"/>
                    </w:rPr>
                    <w:t>Yabancı Dil Bölüm Mezunu Akademik ve İdari Personel için geçerli olacak puan aralıkları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b/>
                      <w:sz w:val="18"/>
                      <w:szCs w:val="18"/>
                    </w:rPr>
                    <w:t>Verilecek puan</w:t>
                  </w:r>
                </w:p>
              </w:tc>
            </w:tr>
            <w:tr w:rsidR="00CA635E" w:rsidRPr="008E446D" w:rsidTr="0058721B">
              <w:trPr>
                <w:trHeight w:val="24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60 – 70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80 – 85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+1 puan</w:t>
                  </w:r>
                </w:p>
              </w:tc>
            </w:tr>
            <w:tr w:rsidR="00CA635E" w:rsidRPr="008E446D" w:rsidTr="0058721B">
              <w:trPr>
                <w:trHeight w:val="22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71 – 80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86 – 90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+2 puan</w:t>
                  </w:r>
                </w:p>
              </w:tc>
            </w:tr>
            <w:tr w:rsidR="00CA635E" w:rsidRPr="008E446D" w:rsidTr="0058721B">
              <w:trPr>
                <w:trHeight w:val="22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81 – 90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91 – 95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+3 puan</w:t>
                  </w:r>
                </w:p>
              </w:tc>
            </w:tr>
            <w:tr w:rsidR="00CA635E" w:rsidRPr="008E446D" w:rsidTr="0058721B">
              <w:trPr>
                <w:trHeight w:val="24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91 – 100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96 – 100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+4 puan</w:t>
                  </w:r>
                </w:p>
              </w:tc>
            </w:tr>
          </w:tbl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35E" w:rsidRPr="008E446D" w:rsidTr="0058721B">
        <w:trPr>
          <w:trHeight w:val="56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lastRenderedPageBreak/>
              <w:t>1</w:t>
            </w:r>
            <w:r>
              <w:rPr>
                <w:b/>
                <w:i/>
                <w:sz w:val="18"/>
                <w:szCs w:val="18"/>
                <w:u w:val="single"/>
              </w:rPr>
              <w:t>7</w:t>
            </w:r>
            <w:r w:rsidRPr="008E446D">
              <w:rPr>
                <w:b/>
                <w:i/>
                <w:sz w:val="18"/>
                <w:szCs w:val="18"/>
                <w:u w:val="single"/>
              </w:rPr>
              <w:t>. Kriter</w:t>
            </w:r>
          </w:p>
        </w:tc>
        <w:tc>
          <w:tcPr>
            <w:tcW w:w="9638" w:type="dxa"/>
            <w:gridSpan w:val="2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635E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 xml:space="preserve">KPDS, ÜDS, YDS, YÖKDİL, TOEFL sınav sonuç belgesi ibraz eden </w:t>
            </w:r>
            <w:r w:rsidRPr="008E446D">
              <w:rPr>
                <w:b/>
                <w:sz w:val="18"/>
                <w:szCs w:val="18"/>
                <w:u w:val="single"/>
              </w:rPr>
              <w:t xml:space="preserve">Eğitim Alma </w:t>
            </w:r>
            <w:proofErr w:type="spellStart"/>
            <w:r w:rsidRPr="008E446D">
              <w:rPr>
                <w:b/>
                <w:sz w:val="18"/>
                <w:szCs w:val="18"/>
                <w:u w:val="single"/>
              </w:rPr>
              <w:t>Hareketliliği’nden</w:t>
            </w:r>
            <w:proofErr w:type="spellEnd"/>
            <w:r w:rsidRPr="008E446D">
              <w:rPr>
                <w:sz w:val="18"/>
                <w:szCs w:val="18"/>
              </w:rPr>
              <w:t xml:space="preserve"> faydalanmak isteyen akademik ve idari personel ise, aşağıdaki tabloda belirtildiği şekilde puan verilecektir.</w:t>
            </w:r>
          </w:p>
          <w:p w:rsidR="00CA635E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  <w:gridCol w:w="2835"/>
            </w:tblGrid>
            <w:tr w:rsidR="00CA635E" w:rsidRPr="008E446D" w:rsidTr="0058721B">
              <w:trPr>
                <w:trHeight w:val="56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b/>
                      <w:sz w:val="18"/>
                      <w:szCs w:val="18"/>
                    </w:rPr>
                    <w:t>Tüm Akademik ve İdari Personel için geçerli olacak puan aralıkları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b/>
                      <w:sz w:val="18"/>
                      <w:szCs w:val="18"/>
                    </w:rPr>
                    <w:t>Yabancı Dil Bölüm Mezunu Akademik ve İdari Personel için geçerli olacak puan aralıkları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b/>
                      <w:sz w:val="18"/>
                      <w:szCs w:val="18"/>
                    </w:rPr>
                    <w:t>Verilecek puan</w:t>
                  </w:r>
                </w:p>
              </w:tc>
            </w:tr>
            <w:tr w:rsidR="00CA635E" w:rsidRPr="008E446D" w:rsidTr="0058721B">
              <w:trPr>
                <w:trHeight w:val="24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50 - 59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+1 puan</w:t>
                  </w:r>
                </w:p>
              </w:tc>
            </w:tr>
            <w:tr w:rsidR="00CA635E" w:rsidRPr="008E446D" w:rsidTr="0058721B">
              <w:trPr>
                <w:trHeight w:val="24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60 – 70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80 – 85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+2 puan</w:t>
                  </w:r>
                </w:p>
              </w:tc>
            </w:tr>
            <w:tr w:rsidR="00CA635E" w:rsidRPr="008E446D" w:rsidTr="0058721B">
              <w:trPr>
                <w:trHeight w:val="22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71 – 80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86 – 90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+3 puan</w:t>
                  </w:r>
                </w:p>
              </w:tc>
            </w:tr>
            <w:tr w:rsidR="00CA635E" w:rsidRPr="008E446D" w:rsidTr="0058721B">
              <w:trPr>
                <w:trHeight w:val="22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81 – 90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91 – 95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+4 puan</w:t>
                  </w:r>
                </w:p>
              </w:tc>
            </w:tr>
            <w:tr w:rsidR="00CA635E" w:rsidRPr="008E446D" w:rsidTr="0058721B">
              <w:trPr>
                <w:trHeight w:val="24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91 – 100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96 – 100</w:t>
                  </w: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46D">
                    <w:rPr>
                      <w:sz w:val="18"/>
                      <w:szCs w:val="18"/>
                    </w:rPr>
                    <w:t>+5 puan</w:t>
                  </w:r>
                </w:p>
              </w:tc>
            </w:tr>
            <w:tr w:rsidR="00CA635E" w:rsidRPr="008E446D" w:rsidTr="0058721B">
              <w:trPr>
                <w:trHeight w:val="240"/>
                <w:jc w:val="center"/>
              </w:trPr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CA635E" w:rsidRPr="008E446D" w:rsidRDefault="00CA635E" w:rsidP="0058721B">
                  <w:pPr>
                    <w:framePr w:hSpace="141" w:wrap="around" w:vAnchor="page" w:hAnchor="margin" w:xAlign="center" w:y="2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1. Öncelik</w:t>
            </w:r>
          </w:p>
        </w:tc>
        <w:tc>
          <w:tcPr>
            <w:tcW w:w="9638" w:type="dxa"/>
            <w:gridSpan w:val="2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46D">
              <w:rPr>
                <w:sz w:val="18"/>
                <w:szCs w:val="18"/>
              </w:rPr>
              <w:t>Son iki Akademik Yıl içerisinde (2016/2017 &amp; 2017/2018) bölümünde, personel ve öğrenci hareketliliği toplamı bakımından daha az hareketlilik gerçekleşen personel;</w:t>
            </w:r>
          </w:p>
        </w:tc>
      </w:tr>
      <w:tr w:rsidR="00CA635E" w:rsidRPr="008E446D" w:rsidTr="0058721B">
        <w:trPr>
          <w:trHeight w:val="440"/>
        </w:trPr>
        <w:tc>
          <w:tcPr>
            <w:tcW w:w="1136" w:type="dxa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E446D">
              <w:rPr>
                <w:b/>
                <w:i/>
                <w:sz w:val="18"/>
                <w:szCs w:val="18"/>
                <w:u w:val="single"/>
              </w:rPr>
              <w:t>2. Öncelik</w:t>
            </w:r>
          </w:p>
        </w:tc>
        <w:tc>
          <w:tcPr>
            <w:tcW w:w="9638" w:type="dxa"/>
            <w:gridSpan w:val="2"/>
            <w:vAlign w:val="center"/>
          </w:tcPr>
          <w:p w:rsidR="00CA635E" w:rsidRPr="008E446D" w:rsidRDefault="00CA635E" w:rsidP="0058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62EE">
              <w:rPr>
                <w:sz w:val="18"/>
                <w:szCs w:val="18"/>
              </w:rPr>
              <w:t xml:space="preserve">Kütahya </w:t>
            </w:r>
            <w:r w:rsidRPr="008E446D">
              <w:rPr>
                <w:sz w:val="18"/>
                <w:szCs w:val="18"/>
              </w:rPr>
              <w:t>Dumlupınar Üniversitesi’nde hizmet süresi daha uzun olan personel üst sırada yer alır.</w:t>
            </w:r>
          </w:p>
        </w:tc>
      </w:tr>
    </w:tbl>
    <w:p w:rsidR="00CA635E" w:rsidRPr="00207855" w:rsidRDefault="00CA635E" w:rsidP="00CA635E">
      <w:pPr>
        <w:spacing w:after="0"/>
        <w:ind w:left="720"/>
        <w:jc w:val="both"/>
        <w:rPr>
          <w:rFonts w:cs="Calibri"/>
          <w:sz w:val="18"/>
          <w:szCs w:val="18"/>
        </w:rPr>
      </w:pPr>
      <w:r w:rsidRPr="00207855">
        <w:rPr>
          <w:rFonts w:cs="Calibri"/>
          <w:sz w:val="18"/>
          <w:szCs w:val="18"/>
          <w:vertAlign w:val="superscript"/>
        </w:rPr>
        <w:t>1</w:t>
      </w:r>
      <w:r w:rsidRPr="00207855">
        <w:rPr>
          <w:rFonts w:cs="Calibri"/>
          <w:sz w:val="18"/>
          <w:szCs w:val="18"/>
        </w:rPr>
        <w:t>Program Ülkelerinden birinin vatandaşı olup da Türkiye’de ikamet eden bir personelin hareketlilik faaliyeti ile vatandaşı olduğu ülkeye gitmesi mümkündür; ancak değerlendirme sürecinde bu personele düşük öncelik verilir.</w:t>
      </w:r>
    </w:p>
    <w:p w:rsidR="00CA635E" w:rsidRPr="00207855" w:rsidRDefault="00CA635E" w:rsidP="00CA635E">
      <w:pPr>
        <w:spacing w:after="0"/>
        <w:ind w:left="720"/>
        <w:jc w:val="both"/>
        <w:rPr>
          <w:rFonts w:cs="Calibri"/>
          <w:sz w:val="18"/>
          <w:szCs w:val="18"/>
          <w:u w:val="single"/>
        </w:rPr>
      </w:pPr>
      <w:r w:rsidRPr="00207855">
        <w:rPr>
          <w:rFonts w:cs="Calibri"/>
          <w:sz w:val="18"/>
          <w:szCs w:val="18"/>
          <w:vertAlign w:val="superscript"/>
        </w:rPr>
        <w:t xml:space="preserve">2 </w:t>
      </w:r>
      <w:r w:rsidRPr="00207855">
        <w:rPr>
          <w:rFonts w:cs="Calibri"/>
          <w:color w:val="000000"/>
          <w:sz w:val="18"/>
          <w:szCs w:val="18"/>
        </w:rPr>
        <w:t xml:space="preserve">Birden fazla </w:t>
      </w:r>
      <w:proofErr w:type="spellStart"/>
      <w:r w:rsidRPr="00207855">
        <w:rPr>
          <w:rFonts w:cs="Calibri"/>
          <w:color w:val="000000"/>
          <w:sz w:val="18"/>
          <w:szCs w:val="18"/>
        </w:rPr>
        <w:t>Erasmus</w:t>
      </w:r>
      <w:proofErr w:type="spellEnd"/>
      <w:r w:rsidRPr="00207855">
        <w:rPr>
          <w:rFonts w:cs="Calibri"/>
          <w:color w:val="000000"/>
          <w:sz w:val="18"/>
          <w:szCs w:val="18"/>
        </w:rPr>
        <w:t xml:space="preserve">+ Bölüm Koordinatörü veya Yardımcı Koordinatörü var ise, Bölüm Başkanı’nın </w:t>
      </w:r>
      <w:proofErr w:type="gramStart"/>
      <w:r w:rsidRPr="00207855">
        <w:rPr>
          <w:rFonts w:cs="Calibri"/>
          <w:color w:val="000000"/>
          <w:sz w:val="18"/>
          <w:szCs w:val="18"/>
        </w:rPr>
        <w:t>inisiyatifi</w:t>
      </w:r>
      <w:proofErr w:type="gramEnd"/>
      <w:r w:rsidRPr="00207855">
        <w:rPr>
          <w:rFonts w:cs="Calibri"/>
          <w:color w:val="000000"/>
          <w:sz w:val="18"/>
          <w:szCs w:val="18"/>
        </w:rPr>
        <w:t xml:space="preserve"> dikkate alınacaktır. </w:t>
      </w:r>
      <w:r w:rsidRPr="00207855">
        <w:rPr>
          <w:rFonts w:cs="Calibri"/>
          <w:color w:val="000000"/>
          <w:sz w:val="18"/>
          <w:szCs w:val="18"/>
          <w:u w:val="single"/>
        </w:rPr>
        <w:t>Başvuru sırasında Koordinatörlük Atama yazısının ibrazı zorunludur.</w:t>
      </w:r>
    </w:p>
    <w:p w:rsidR="00CA635E" w:rsidRPr="00207855" w:rsidRDefault="00CA635E" w:rsidP="00CA635E">
      <w:pPr>
        <w:spacing w:after="0"/>
        <w:ind w:left="720"/>
        <w:jc w:val="both"/>
        <w:rPr>
          <w:rFonts w:cs="Calibri"/>
          <w:sz w:val="18"/>
          <w:szCs w:val="18"/>
        </w:rPr>
      </w:pPr>
      <w:r w:rsidRPr="00207855">
        <w:rPr>
          <w:rFonts w:cs="Calibri"/>
          <w:sz w:val="18"/>
          <w:szCs w:val="18"/>
          <w:vertAlign w:val="superscript"/>
        </w:rPr>
        <w:t xml:space="preserve">3 </w:t>
      </w:r>
      <w:r w:rsidRPr="00207855">
        <w:rPr>
          <w:rFonts w:cs="Calibri"/>
          <w:sz w:val="18"/>
          <w:szCs w:val="18"/>
        </w:rPr>
        <w:t xml:space="preserve">Engelli personel ile ilgili açıklama, Başvuru </w:t>
      </w:r>
      <w:proofErr w:type="spellStart"/>
      <w:r w:rsidRPr="00207855">
        <w:rPr>
          <w:rFonts w:cs="Calibri"/>
          <w:sz w:val="18"/>
          <w:szCs w:val="18"/>
        </w:rPr>
        <w:t>Duyurusu’nun</w:t>
      </w:r>
      <w:proofErr w:type="spellEnd"/>
      <w:r w:rsidRPr="00207855">
        <w:rPr>
          <w:rFonts w:cs="Calibri"/>
          <w:sz w:val="18"/>
          <w:szCs w:val="18"/>
        </w:rPr>
        <w:t xml:space="preserve">   “Özel İhtiyaç Desteği” başlığı altında detaylandırılmıştır.</w:t>
      </w:r>
    </w:p>
    <w:p w:rsidR="00CA635E" w:rsidRPr="00207855" w:rsidRDefault="00CA635E" w:rsidP="00CA635E">
      <w:pPr>
        <w:spacing w:after="0"/>
        <w:ind w:left="720"/>
        <w:jc w:val="both"/>
        <w:rPr>
          <w:rFonts w:cs="Calibri"/>
          <w:sz w:val="18"/>
          <w:szCs w:val="18"/>
        </w:rPr>
      </w:pPr>
      <w:r w:rsidRPr="00207855">
        <w:rPr>
          <w:rFonts w:cs="Calibri"/>
          <w:sz w:val="18"/>
          <w:szCs w:val="18"/>
          <w:vertAlign w:val="superscript"/>
        </w:rPr>
        <w:t>4</w:t>
      </w:r>
      <w:r w:rsidRPr="00207855">
        <w:rPr>
          <w:rFonts w:cs="Calibri"/>
          <w:color w:val="000000"/>
          <w:sz w:val="18"/>
          <w:szCs w:val="18"/>
          <w:vertAlign w:val="superscript"/>
        </w:rPr>
        <w:t xml:space="preserve"> </w:t>
      </w:r>
      <w:r w:rsidRPr="00207855">
        <w:rPr>
          <w:rFonts w:cs="Calibri"/>
          <w:color w:val="000000"/>
          <w:sz w:val="18"/>
          <w:szCs w:val="18"/>
        </w:rPr>
        <w:t xml:space="preserve">Bölümünden onaylı yazı getirmesi koşuluyla dersi asiste eden sadece 1 Arş. </w:t>
      </w:r>
      <w:proofErr w:type="spellStart"/>
      <w:r w:rsidRPr="00207855">
        <w:rPr>
          <w:rFonts w:cs="Calibri"/>
          <w:color w:val="000000"/>
          <w:sz w:val="18"/>
          <w:szCs w:val="18"/>
        </w:rPr>
        <w:t>Gör.’e</w:t>
      </w:r>
      <w:proofErr w:type="spellEnd"/>
      <w:r w:rsidRPr="00207855">
        <w:rPr>
          <w:rFonts w:cs="Calibri"/>
          <w:color w:val="000000"/>
          <w:sz w:val="18"/>
          <w:szCs w:val="18"/>
        </w:rPr>
        <w:t xml:space="preserve"> puan verilecektir. </w:t>
      </w:r>
      <w:r w:rsidRPr="00207855">
        <w:rPr>
          <w:rFonts w:cs="Calibri"/>
          <w:sz w:val="18"/>
          <w:szCs w:val="18"/>
        </w:rPr>
        <w:t xml:space="preserve">Aynı dersi birden fazla Arş. </w:t>
      </w:r>
      <w:proofErr w:type="spellStart"/>
      <w:r w:rsidRPr="00207855">
        <w:rPr>
          <w:rFonts w:cs="Calibri"/>
          <w:sz w:val="18"/>
          <w:szCs w:val="18"/>
        </w:rPr>
        <w:t>Gör.’ün</w:t>
      </w:r>
      <w:proofErr w:type="spellEnd"/>
      <w:r w:rsidRPr="00207855">
        <w:rPr>
          <w:rFonts w:cs="Calibri"/>
          <w:sz w:val="18"/>
          <w:szCs w:val="18"/>
        </w:rPr>
        <w:t xml:space="preserve"> asiste etmesi durumunda, Bölüm Başkanı’nın </w:t>
      </w:r>
      <w:proofErr w:type="gramStart"/>
      <w:r w:rsidRPr="00207855">
        <w:rPr>
          <w:rFonts w:cs="Calibri"/>
          <w:sz w:val="18"/>
          <w:szCs w:val="18"/>
        </w:rPr>
        <w:t>inisiyatifi</w:t>
      </w:r>
      <w:proofErr w:type="gramEnd"/>
      <w:r w:rsidRPr="00207855">
        <w:rPr>
          <w:rFonts w:cs="Calibri"/>
          <w:sz w:val="18"/>
          <w:szCs w:val="18"/>
        </w:rPr>
        <w:t xml:space="preserve"> dikkate alınacaktır.</w:t>
      </w:r>
    </w:p>
    <w:p w:rsidR="00CA635E" w:rsidRPr="00207855" w:rsidRDefault="00CA635E" w:rsidP="00CA635E">
      <w:pPr>
        <w:spacing w:after="0"/>
        <w:ind w:left="720"/>
        <w:jc w:val="both"/>
        <w:rPr>
          <w:rFonts w:cs="Calibri"/>
          <w:sz w:val="18"/>
          <w:szCs w:val="18"/>
        </w:rPr>
      </w:pPr>
      <w:r w:rsidRPr="00207855">
        <w:rPr>
          <w:rFonts w:cs="Calibri"/>
          <w:sz w:val="18"/>
          <w:szCs w:val="18"/>
          <w:vertAlign w:val="superscript"/>
        </w:rPr>
        <w:t>5</w:t>
      </w:r>
      <w:r w:rsidRPr="00207855">
        <w:rPr>
          <w:rFonts w:cs="Calibri"/>
          <w:color w:val="000000"/>
          <w:sz w:val="18"/>
          <w:szCs w:val="18"/>
        </w:rPr>
        <w:t xml:space="preserve"> İngilizce mülakat, Yabancı Diller Yüksekokulu tarafından yapılacaktır.</w:t>
      </w:r>
    </w:p>
    <w:p w:rsidR="00CA635E" w:rsidRDefault="00CA635E" w:rsidP="00CA635E">
      <w:pPr>
        <w:spacing w:after="0"/>
        <w:ind w:left="720"/>
        <w:jc w:val="both"/>
        <w:rPr>
          <w:rFonts w:cs="Calibri"/>
          <w:color w:val="000000"/>
          <w:sz w:val="18"/>
          <w:szCs w:val="18"/>
        </w:rPr>
      </w:pPr>
      <w:r w:rsidRPr="00207855">
        <w:rPr>
          <w:rFonts w:cs="Calibri"/>
          <w:sz w:val="18"/>
          <w:szCs w:val="18"/>
          <w:vertAlign w:val="superscript"/>
        </w:rPr>
        <w:t>6</w:t>
      </w:r>
      <w:r w:rsidRPr="00207855">
        <w:rPr>
          <w:rFonts w:cs="Calibri"/>
          <w:color w:val="000000"/>
          <w:sz w:val="18"/>
          <w:szCs w:val="18"/>
        </w:rPr>
        <w:t>Ders Verme Hareketliliği başvurusu esnasında dil belgesi ibraz etmeyen Öğretim Üyeleri,  +1 puan alacaklardır.</w:t>
      </w:r>
    </w:p>
    <w:p w:rsidR="00660C5E" w:rsidRPr="00207855" w:rsidRDefault="00660C5E" w:rsidP="00CA635E">
      <w:pPr>
        <w:spacing w:after="0"/>
        <w:ind w:left="720"/>
        <w:jc w:val="both"/>
        <w:rPr>
          <w:rFonts w:cs="Calibri"/>
          <w:sz w:val="18"/>
          <w:szCs w:val="18"/>
        </w:rPr>
      </w:pPr>
    </w:p>
    <w:p w:rsidR="00660C5E" w:rsidRPr="00057F95" w:rsidRDefault="00660C5E" w:rsidP="00513E61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057F95">
        <w:rPr>
          <w:rFonts w:ascii="Times New Roman" w:eastAsia="Times New Roman" w:hAnsi="Times New Roman"/>
          <w:b/>
          <w:sz w:val="24"/>
          <w:szCs w:val="24"/>
          <w:u w:val="single"/>
        </w:rPr>
        <w:t>NOT-1:</w:t>
      </w:r>
      <w:r w:rsidRPr="00057F95">
        <w:rPr>
          <w:rFonts w:ascii="Times New Roman" w:eastAsia="Times New Roman" w:hAnsi="Times New Roman"/>
          <w:sz w:val="24"/>
          <w:szCs w:val="24"/>
        </w:rPr>
        <w:t xml:space="preserve"> İdari Personele 1 kontenjan verilecektir.</w:t>
      </w:r>
    </w:p>
    <w:p w:rsidR="00660C5E" w:rsidRPr="00057F95" w:rsidRDefault="00660C5E" w:rsidP="00513E6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7F95">
        <w:rPr>
          <w:rFonts w:ascii="Times New Roman" w:eastAsia="Times New Roman" w:hAnsi="Times New Roman"/>
          <w:b/>
          <w:sz w:val="24"/>
          <w:szCs w:val="24"/>
          <w:u w:val="single"/>
        </w:rPr>
        <w:t>NOT-2:</w:t>
      </w:r>
      <w:r w:rsidRPr="00057F95">
        <w:rPr>
          <w:rFonts w:ascii="Times New Roman" w:eastAsia="Times New Roman" w:hAnsi="Times New Roman"/>
          <w:sz w:val="24"/>
          <w:szCs w:val="24"/>
        </w:rPr>
        <w:t xml:space="preserve"> Ders Verme için 60, Eğitim Alma için ise 50 dil puanı olmayan personelin başvuruları kabul edilecektir. Ancak ilgili </w:t>
      </w:r>
      <w:proofErr w:type="gramStart"/>
      <w:r w:rsidRPr="00057F95">
        <w:rPr>
          <w:rFonts w:ascii="Times New Roman" w:eastAsia="Times New Roman" w:hAnsi="Times New Roman"/>
          <w:sz w:val="24"/>
          <w:szCs w:val="24"/>
        </w:rPr>
        <w:t>kriterden</w:t>
      </w:r>
      <w:proofErr w:type="gramEnd"/>
      <w:r w:rsidRPr="00057F95">
        <w:rPr>
          <w:rFonts w:ascii="Times New Roman" w:eastAsia="Times New Roman" w:hAnsi="Times New Roman"/>
          <w:sz w:val="24"/>
          <w:szCs w:val="24"/>
        </w:rPr>
        <w:t xml:space="preserve"> puan alamayacaktır.</w:t>
      </w:r>
    </w:p>
    <w:p w:rsidR="00660C5E" w:rsidRPr="00057F95" w:rsidRDefault="00660C5E" w:rsidP="00513E6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7F95">
        <w:rPr>
          <w:rFonts w:ascii="Times New Roman" w:eastAsia="Times New Roman" w:hAnsi="Times New Roman"/>
          <w:b/>
          <w:sz w:val="24"/>
          <w:szCs w:val="24"/>
          <w:u w:val="single"/>
        </w:rPr>
        <w:t>NOT-3:</w:t>
      </w:r>
      <w:r w:rsidRPr="00057F95">
        <w:rPr>
          <w:rFonts w:ascii="Times New Roman" w:eastAsia="Times New Roman" w:hAnsi="Times New Roman"/>
          <w:sz w:val="24"/>
          <w:szCs w:val="24"/>
        </w:rPr>
        <w:t xml:space="preserve"> KPDS, ÜDS, YDS veya YÖKDİL dışındaki yabancı dil sınavlarına ilişkin sınav sonuçlarında, ÖSYM’nin 25.02.2016 tarihinde yayınlanmış olduğu Yabancı Dil Sınav Eş değerlikleri kullanılacaktır.</w:t>
      </w:r>
    </w:p>
    <w:p w:rsidR="00660C5E" w:rsidRPr="00057F95" w:rsidRDefault="00660C5E" w:rsidP="00513E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57F95">
        <w:rPr>
          <w:rFonts w:ascii="Times New Roman" w:eastAsia="Times New Roman" w:hAnsi="Times New Roman"/>
          <w:b/>
          <w:sz w:val="24"/>
          <w:szCs w:val="24"/>
          <w:u w:val="single"/>
        </w:rPr>
        <w:t>NOT-4:</w:t>
      </w:r>
      <w:r w:rsidRPr="00057F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İsteğe bağlı yabancı dil sözlü mülakat sınav başvuruları 16 Kasım 2018 tarihinde bitmiştir. Sınava girmemiş olan personel ilgili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kriterden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puan alamayacaktır.</w:t>
      </w:r>
    </w:p>
    <w:bookmarkEnd w:id="0"/>
    <w:p w:rsidR="00DF6ECB" w:rsidRDefault="00DF6ECB"/>
    <w:sectPr w:rsidR="00DF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5E"/>
    <w:rsid w:val="00513E61"/>
    <w:rsid w:val="00660C5E"/>
    <w:rsid w:val="00CA635E"/>
    <w:rsid w:val="00D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FD83"/>
  <w15:chartTrackingRefBased/>
  <w15:docId w15:val="{A620704C-9995-482A-85AF-9A66D168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2018-12-14T14:08:00Z</cp:lastPrinted>
  <dcterms:created xsi:type="dcterms:W3CDTF">2018-12-14T14:05:00Z</dcterms:created>
  <dcterms:modified xsi:type="dcterms:W3CDTF">2018-12-14T14:08:00Z</dcterms:modified>
</cp:coreProperties>
</file>