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F3" w:rsidRDefault="006B63D9">
      <w:pPr>
        <w:spacing w:before="39"/>
        <w:ind w:left="1706"/>
        <w:rPr>
          <w:b/>
        </w:rPr>
      </w:pPr>
      <w:r>
        <w:rPr>
          <w:b/>
        </w:rPr>
        <w:t>201</w:t>
      </w:r>
      <w:r w:rsidR="009E20D7">
        <w:rPr>
          <w:b/>
        </w:rPr>
        <w:t>7</w:t>
      </w:r>
      <w:r>
        <w:rPr>
          <w:b/>
        </w:rPr>
        <w:t xml:space="preserve"> – 201</w:t>
      </w:r>
      <w:r w:rsidR="009E20D7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 w:rsidR="009E20D7">
        <w:rPr>
          <w:b/>
        </w:rPr>
        <w:t xml:space="preserve"> </w:t>
      </w:r>
      <w:proofErr w:type="spellStart"/>
      <w:r>
        <w:rPr>
          <w:b/>
        </w:rPr>
        <w:t>Yılı</w:t>
      </w:r>
      <w:proofErr w:type="spellEnd"/>
      <w:r w:rsidR="009E20D7">
        <w:rPr>
          <w:b/>
        </w:rPr>
        <w:t xml:space="preserve"> </w:t>
      </w:r>
      <w:proofErr w:type="spellStart"/>
      <w:r>
        <w:rPr>
          <w:b/>
        </w:rPr>
        <w:t>Güz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Yarıyılı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Katkı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Ücreti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Tutarları</w:t>
      </w:r>
      <w:proofErr w:type="spellEnd"/>
    </w:p>
    <w:p w:rsidR="004940F3" w:rsidRDefault="004940F3">
      <w:pPr>
        <w:pStyle w:val="GvdeMetni"/>
        <w:spacing w:before="6"/>
        <w:rPr>
          <w:b/>
          <w:sz w:val="2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395"/>
        <w:gridCol w:w="3436"/>
      </w:tblGrid>
      <w:tr w:rsidR="004940F3">
        <w:trPr>
          <w:trHeight w:hRule="exact" w:val="988"/>
        </w:trPr>
        <w:tc>
          <w:tcPr>
            <w:tcW w:w="3483" w:type="dxa"/>
          </w:tcPr>
          <w:p w:rsidR="004940F3" w:rsidRDefault="004940F3"/>
        </w:tc>
        <w:tc>
          <w:tcPr>
            <w:tcW w:w="3395" w:type="dxa"/>
          </w:tcPr>
          <w:p w:rsidR="004940F3" w:rsidRDefault="006B63D9">
            <w:pPr>
              <w:pStyle w:val="TableParagraph"/>
              <w:ind w:left="434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Normal </w:t>
            </w:r>
            <w:proofErr w:type="spellStart"/>
            <w:r>
              <w:rPr>
                <w:b/>
                <w:sz w:val="18"/>
              </w:rPr>
              <w:t>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Katkı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Payı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Tutarı</w:t>
            </w:r>
            <w:proofErr w:type="spellEnd"/>
          </w:p>
        </w:tc>
        <w:tc>
          <w:tcPr>
            <w:tcW w:w="3436" w:type="dxa"/>
          </w:tcPr>
          <w:p w:rsidR="004940F3" w:rsidRDefault="006B63D9" w:rsidP="009E20D7">
            <w:pPr>
              <w:pStyle w:val="TableParagraph"/>
              <w:ind w:left="259" w:right="255" w:hanging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İkinci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Programlarına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Yaptıran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Tüm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Öğrencilerin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9E20D7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Yarıyıl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İçin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Ödeyecekleri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Ücreti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Tutarı</w:t>
            </w:r>
            <w:proofErr w:type="spellEnd"/>
          </w:p>
        </w:tc>
      </w:tr>
      <w:tr w:rsidR="004940F3">
        <w:trPr>
          <w:trHeight w:hRule="exact" w:val="229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İktisadi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İdari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4" w:right="434"/>
              <w:rPr>
                <w:sz w:val="18"/>
              </w:rPr>
            </w:pPr>
            <w:r>
              <w:rPr>
                <w:sz w:val="18"/>
              </w:rPr>
              <w:t>157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578 TL.</w:t>
            </w:r>
          </w:p>
        </w:tc>
      </w:tr>
      <w:tr w:rsidR="004940F3">
        <w:trPr>
          <w:trHeight w:hRule="exact" w:val="230"/>
        </w:trPr>
        <w:tc>
          <w:tcPr>
            <w:tcW w:w="3483" w:type="dxa"/>
          </w:tcPr>
          <w:p w:rsidR="004940F3" w:rsidRDefault="006B63D9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Fen </w:t>
            </w:r>
            <w:proofErr w:type="spellStart"/>
            <w:r>
              <w:rPr>
                <w:sz w:val="18"/>
              </w:rPr>
              <w:t>Edebiyat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  <w:r>
              <w:rPr>
                <w:sz w:val="18"/>
              </w:rPr>
              <w:t xml:space="preserve"> (Fen </w:t>
            </w:r>
            <w:proofErr w:type="spellStart"/>
            <w:r>
              <w:rPr>
                <w:sz w:val="18"/>
              </w:rPr>
              <w:t>Programları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spacing w:before="1"/>
              <w:ind w:left="433" w:right="434"/>
              <w:rPr>
                <w:sz w:val="18"/>
              </w:rPr>
            </w:pPr>
            <w:r>
              <w:rPr>
                <w:sz w:val="18"/>
              </w:rPr>
              <w:t>142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spacing w:before="1"/>
              <w:ind w:left="1430" w:right="1431"/>
              <w:rPr>
                <w:sz w:val="18"/>
              </w:rPr>
            </w:pPr>
            <w:r>
              <w:rPr>
                <w:sz w:val="18"/>
              </w:rPr>
              <w:t>641 TL.</w:t>
            </w:r>
          </w:p>
        </w:tc>
      </w:tr>
      <w:tr w:rsidR="004940F3">
        <w:trPr>
          <w:trHeight w:hRule="exact" w:val="229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Fen </w:t>
            </w:r>
            <w:proofErr w:type="spellStart"/>
            <w:r>
              <w:rPr>
                <w:sz w:val="18"/>
              </w:rPr>
              <w:t>Edebiyat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3" w:right="434"/>
              <w:rPr>
                <w:sz w:val="18"/>
              </w:rPr>
            </w:pPr>
            <w:r>
              <w:rPr>
                <w:sz w:val="18"/>
              </w:rPr>
              <w:t>142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481 TL.</w:t>
            </w:r>
          </w:p>
        </w:tc>
      </w:tr>
      <w:tr w:rsidR="004940F3">
        <w:trPr>
          <w:trHeight w:hRule="exact" w:val="230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Mühendislik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3" w:right="434"/>
              <w:rPr>
                <w:sz w:val="18"/>
              </w:rPr>
            </w:pPr>
            <w:r>
              <w:rPr>
                <w:sz w:val="18"/>
              </w:rPr>
              <w:t>194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765 TL.</w:t>
            </w:r>
          </w:p>
        </w:tc>
      </w:tr>
      <w:tr w:rsidR="004940F3">
        <w:trPr>
          <w:trHeight w:hRule="exact" w:val="229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Güzel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3" w:right="434"/>
              <w:rPr>
                <w:sz w:val="18"/>
              </w:rPr>
            </w:pPr>
            <w:r>
              <w:rPr>
                <w:sz w:val="18"/>
              </w:rPr>
              <w:t>158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1430" w:right="1430"/>
              <w:rPr>
                <w:sz w:val="18"/>
              </w:rPr>
            </w:pPr>
            <w:r>
              <w:rPr>
                <w:sz w:val="18"/>
              </w:rPr>
              <w:t>962 TL.</w:t>
            </w:r>
          </w:p>
        </w:tc>
      </w:tr>
      <w:tr w:rsidR="004940F3">
        <w:trPr>
          <w:trHeight w:hRule="exact" w:val="229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3" w:right="434"/>
              <w:rPr>
                <w:sz w:val="18"/>
              </w:rPr>
            </w:pPr>
            <w:r>
              <w:rPr>
                <w:sz w:val="18"/>
              </w:rPr>
              <w:t>142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514 TL.</w:t>
            </w:r>
          </w:p>
        </w:tc>
      </w:tr>
      <w:tr w:rsidR="004940F3">
        <w:trPr>
          <w:trHeight w:hRule="exact" w:val="230"/>
        </w:trPr>
        <w:tc>
          <w:tcPr>
            <w:tcW w:w="3483" w:type="dxa"/>
          </w:tcPr>
          <w:p w:rsidR="004940F3" w:rsidRDefault="006B63D9">
            <w:pPr>
              <w:pStyle w:val="TableParagraph"/>
              <w:spacing w:before="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İlahiyat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spacing w:before="1"/>
              <w:ind w:left="434" w:right="434"/>
              <w:rPr>
                <w:sz w:val="18"/>
              </w:rPr>
            </w:pPr>
            <w:r>
              <w:rPr>
                <w:sz w:val="18"/>
              </w:rPr>
              <w:t>142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spacing w:before="1"/>
              <w:ind w:left="1430" w:right="1430"/>
              <w:rPr>
                <w:sz w:val="18"/>
              </w:rPr>
            </w:pPr>
            <w:r>
              <w:rPr>
                <w:sz w:val="18"/>
              </w:rPr>
              <w:t>514 TL.</w:t>
            </w:r>
          </w:p>
        </w:tc>
      </w:tr>
      <w:tr w:rsidR="004940F3">
        <w:trPr>
          <w:trHeight w:hRule="exact" w:val="229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Tıp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4" w:right="434"/>
              <w:rPr>
                <w:sz w:val="18"/>
              </w:rPr>
            </w:pPr>
            <w:r>
              <w:rPr>
                <w:sz w:val="18"/>
              </w:rPr>
              <w:t>296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‐</w:t>
            </w:r>
          </w:p>
        </w:tc>
      </w:tr>
      <w:tr w:rsidR="004940F3">
        <w:trPr>
          <w:trHeight w:hRule="exact" w:val="230"/>
        </w:trPr>
        <w:tc>
          <w:tcPr>
            <w:tcW w:w="3483" w:type="dxa"/>
          </w:tcPr>
          <w:p w:rsidR="004940F3" w:rsidRDefault="006B63D9">
            <w:pPr>
              <w:pStyle w:val="TableParagraph"/>
              <w:spacing w:before="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Simav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spacing w:before="1"/>
              <w:ind w:left="434" w:right="434"/>
              <w:rPr>
                <w:sz w:val="18"/>
              </w:rPr>
            </w:pPr>
            <w:r>
              <w:rPr>
                <w:sz w:val="18"/>
              </w:rPr>
              <w:t>194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spacing w:before="1"/>
              <w:ind w:left="1430" w:right="1430"/>
              <w:rPr>
                <w:sz w:val="18"/>
              </w:rPr>
            </w:pPr>
            <w:r>
              <w:rPr>
                <w:sz w:val="18"/>
              </w:rPr>
              <w:t>765 TL.</w:t>
            </w:r>
          </w:p>
        </w:tc>
      </w:tr>
      <w:tr w:rsidR="004940F3">
        <w:trPr>
          <w:trHeight w:hRule="exact" w:val="229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Kütahya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4" w:right="354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0" w:right="1"/>
              <w:rPr>
                <w:sz w:val="18"/>
              </w:rPr>
            </w:pPr>
            <w:r>
              <w:rPr>
                <w:w w:val="99"/>
                <w:sz w:val="18"/>
              </w:rPr>
              <w:t>‐</w:t>
            </w:r>
          </w:p>
        </w:tc>
      </w:tr>
      <w:tr w:rsidR="004940F3">
        <w:trPr>
          <w:trHeight w:hRule="exact" w:val="230"/>
        </w:trPr>
        <w:tc>
          <w:tcPr>
            <w:tcW w:w="3483" w:type="dxa"/>
          </w:tcPr>
          <w:p w:rsidR="004940F3" w:rsidRDefault="006B63D9">
            <w:pPr>
              <w:pStyle w:val="TableParagraph"/>
              <w:spacing w:before="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spacing w:before="1"/>
              <w:ind w:left="434" w:right="314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spacing w:before="1"/>
              <w:ind w:left="1430" w:right="1431"/>
              <w:rPr>
                <w:sz w:val="18"/>
              </w:rPr>
            </w:pPr>
            <w:r>
              <w:rPr>
                <w:sz w:val="18"/>
              </w:rPr>
              <w:t>578 TL.</w:t>
            </w:r>
          </w:p>
        </w:tc>
      </w:tr>
      <w:tr w:rsidR="004940F3">
        <w:trPr>
          <w:trHeight w:hRule="exact" w:val="229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4" w:right="313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578 TL.</w:t>
            </w:r>
          </w:p>
        </w:tc>
      </w:tr>
      <w:tr w:rsidR="004940F3">
        <w:trPr>
          <w:trHeight w:hRule="exact" w:val="450"/>
        </w:trPr>
        <w:tc>
          <w:tcPr>
            <w:tcW w:w="3483" w:type="dxa"/>
          </w:tcPr>
          <w:p w:rsidR="004940F3" w:rsidRDefault="006B63D9">
            <w:pPr>
              <w:pStyle w:val="TableParagraph"/>
              <w:ind w:right="46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Tavşanlı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Turizm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İşletmeciliği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Otelcilik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4" w:right="313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578 TL.</w:t>
            </w:r>
          </w:p>
        </w:tc>
      </w:tr>
      <w:tr w:rsidR="004940F3">
        <w:trPr>
          <w:trHeight w:hRule="exact" w:val="229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Meslek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Yüksekokulları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4" w:right="314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385 TL.</w:t>
            </w:r>
          </w:p>
        </w:tc>
      </w:tr>
      <w:tr w:rsidR="004940F3">
        <w:trPr>
          <w:trHeight w:hRule="exact" w:val="231"/>
        </w:trPr>
        <w:tc>
          <w:tcPr>
            <w:tcW w:w="3483" w:type="dxa"/>
          </w:tcPr>
          <w:p w:rsidR="004940F3" w:rsidRDefault="006B63D9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Lisansüstü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</w:p>
        </w:tc>
        <w:tc>
          <w:tcPr>
            <w:tcW w:w="3395" w:type="dxa"/>
          </w:tcPr>
          <w:p w:rsidR="004940F3" w:rsidRDefault="006B63D9">
            <w:pPr>
              <w:pStyle w:val="TableParagraph"/>
              <w:ind w:left="433" w:right="434"/>
              <w:rPr>
                <w:sz w:val="18"/>
              </w:rPr>
            </w:pPr>
            <w:r>
              <w:rPr>
                <w:sz w:val="18"/>
              </w:rPr>
              <w:t>129 TL.</w:t>
            </w:r>
          </w:p>
        </w:tc>
        <w:tc>
          <w:tcPr>
            <w:tcW w:w="3436" w:type="dxa"/>
          </w:tcPr>
          <w:p w:rsidR="004940F3" w:rsidRDefault="006B63D9">
            <w:pPr>
              <w:pStyle w:val="TableParagraph"/>
              <w:ind w:left="0" w:right="1"/>
              <w:rPr>
                <w:sz w:val="18"/>
              </w:rPr>
            </w:pPr>
            <w:r>
              <w:rPr>
                <w:w w:val="99"/>
                <w:sz w:val="18"/>
              </w:rPr>
              <w:t>‐</w:t>
            </w:r>
          </w:p>
        </w:tc>
      </w:tr>
    </w:tbl>
    <w:p w:rsidR="004940F3" w:rsidRDefault="004940F3">
      <w:pPr>
        <w:pStyle w:val="GvdeMetni"/>
        <w:rPr>
          <w:b/>
          <w:sz w:val="20"/>
        </w:rPr>
      </w:pPr>
    </w:p>
    <w:p w:rsidR="004940F3" w:rsidRDefault="004940F3">
      <w:pPr>
        <w:pStyle w:val="GvdeMetni"/>
        <w:rPr>
          <w:b/>
          <w:sz w:val="20"/>
        </w:rPr>
      </w:pPr>
    </w:p>
    <w:p w:rsidR="004940F3" w:rsidRDefault="004940F3">
      <w:pPr>
        <w:pStyle w:val="GvdeMetni"/>
        <w:spacing w:before="11"/>
        <w:rPr>
          <w:b/>
          <w:sz w:val="17"/>
        </w:rPr>
      </w:pPr>
    </w:p>
    <w:p w:rsidR="009E20D7" w:rsidRPr="009E20D7" w:rsidRDefault="009E20D7" w:rsidP="009E20D7">
      <w:pPr>
        <w:ind w:firstLine="720"/>
        <w:rPr>
          <w:sz w:val="18"/>
        </w:rPr>
      </w:pPr>
      <w:r w:rsidRPr="009E20D7">
        <w:rPr>
          <w:sz w:val="18"/>
        </w:rPr>
        <w:t xml:space="preserve">Not: </w:t>
      </w:r>
      <w:proofErr w:type="spellStart"/>
      <w:r w:rsidRPr="009E20D7">
        <w:rPr>
          <w:sz w:val="18"/>
        </w:rPr>
        <w:t>Kayıt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tarihleri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itibarıyla</w:t>
      </w:r>
      <w:proofErr w:type="spellEnd"/>
      <w:r w:rsidRPr="009E20D7">
        <w:rPr>
          <w:sz w:val="18"/>
        </w:rPr>
        <w:t xml:space="preserve"> 2017-2018 </w:t>
      </w:r>
      <w:proofErr w:type="spellStart"/>
      <w:r w:rsidRPr="009E20D7">
        <w:rPr>
          <w:sz w:val="18"/>
        </w:rPr>
        <w:t>Eğitim-Öğretim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Yılı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öğrenim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ücretleri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Resmi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Gazete’de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yayımlanmamış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olduğundan</w:t>
      </w:r>
      <w:proofErr w:type="spellEnd"/>
      <w:r w:rsidRPr="009E20D7">
        <w:rPr>
          <w:sz w:val="18"/>
        </w:rPr>
        <w:t xml:space="preserve">, </w:t>
      </w:r>
      <w:proofErr w:type="spellStart"/>
      <w:r w:rsidRPr="009E20D7">
        <w:rPr>
          <w:sz w:val="18"/>
        </w:rPr>
        <w:t>Güz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Yarıyılı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ö</w:t>
      </w:r>
      <w:bookmarkStart w:id="0" w:name="_GoBack"/>
      <w:bookmarkEnd w:id="0"/>
      <w:r w:rsidRPr="009E20D7">
        <w:rPr>
          <w:sz w:val="18"/>
        </w:rPr>
        <w:t>demeleri</w:t>
      </w:r>
      <w:proofErr w:type="spellEnd"/>
      <w:r w:rsidRPr="009E20D7">
        <w:rPr>
          <w:sz w:val="18"/>
        </w:rPr>
        <w:t xml:space="preserve"> 2016-2017 </w:t>
      </w:r>
      <w:proofErr w:type="spellStart"/>
      <w:r w:rsidRPr="009E20D7">
        <w:rPr>
          <w:sz w:val="18"/>
        </w:rPr>
        <w:t>Eğitim-Öğretim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Yılı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için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belirlenen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tutarlara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göre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yapılacaktır</w:t>
      </w:r>
      <w:proofErr w:type="spellEnd"/>
      <w:r w:rsidRPr="009E20D7">
        <w:rPr>
          <w:sz w:val="18"/>
        </w:rPr>
        <w:t>.</w:t>
      </w:r>
    </w:p>
    <w:p w:rsidR="009E20D7" w:rsidRPr="009E20D7" w:rsidRDefault="009E20D7" w:rsidP="009E20D7">
      <w:pPr>
        <w:ind w:firstLine="720"/>
        <w:rPr>
          <w:sz w:val="18"/>
        </w:rPr>
      </w:pPr>
      <w:r w:rsidRPr="009E20D7">
        <w:rPr>
          <w:sz w:val="18"/>
        </w:rPr>
        <w:t xml:space="preserve">2017-2018 </w:t>
      </w:r>
      <w:proofErr w:type="spellStart"/>
      <w:r w:rsidRPr="009E20D7">
        <w:rPr>
          <w:sz w:val="18"/>
        </w:rPr>
        <w:t>Eğitim-Öğretim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Yılı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öğrenim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ücretleri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yayımlanmasından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sonra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ücretlerde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fark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çıkması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durumunda</w:t>
      </w:r>
      <w:proofErr w:type="spellEnd"/>
      <w:r w:rsidRPr="009E20D7">
        <w:rPr>
          <w:sz w:val="18"/>
        </w:rPr>
        <w:t xml:space="preserve">, </w:t>
      </w:r>
      <w:proofErr w:type="spellStart"/>
      <w:r w:rsidRPr="009E20D7">
        <w:rPr>
          <w:sz w:val="18"/>
        </w:rPr>
        <w:t>varsa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ortaya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çıkacak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fark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Bahar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Yarıyılı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ödemeleri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ile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birlikte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tahsil</w:t>
      </w:r>
      <w:proofErr w:type="spellEnd"/>
      <w:r w:rsidRPr="009E20D7">
        <w:rPr>
          <w:sz w:val="18"/>
        </w:rPr>
        <w:t xml:space="preserve"> </w:t>
      </w:r>
      <w:proofErr w:type="spellStart"/>
      <w:r w:rsidRPr="009E20D7">
        <w:rPr>
          <w:sz w:val="18"/>
        </w:rPr>
        <w:t>edilecektir</w:t>
      </w:r>
      <w:proofErr w:type="spellEnd"/>
      <w:r w:rsidRPr="009E20D7">
        <w:rPr>
          <w:sz w:val="18"/>
        </w:rPr>
        <w:t>.</w:t>
      </w:r>
    </w:p>
    <w:p w:rsidR="004940F3" w:rsidRDefault="004940F3">
      <w:pPr>
        <w:pStyle w:val="GvdeMetni"/>
      </w:pPr>
    </w:p>
    <w:p w:rsidR="004940F3" w:rsidRDefault="004940F3">
      <w:pPr>
        <w:pStyle w:val="GvdeMetni"/>
      </w:pPr>
    </w:p>
    <w:p w:rsidR="004940F3" w:rsidRDefault="004940F3">
      <w:pPr>
        <w:pStyle w:val="GvdeMetni"/>
      </w:pPr>
    </w:p>
    <w:p w:rsidR="004940F3" w:rsidRDefault="004940F3">
      <w:pPr>
        <w:pStyle w:val="GvdeMetni"/>
      </w:pPr>
    </w:p>
    <w:p w:rsidR="004940F3" w:rsidRDefault="004940F3">
      <w:pPr>
        <w:pStyle w:val="GvdeMetni"/>
        <w:spacing w:before="7"/>
      </w:pPr>
    </w:p>
    <w:p w:rsidR="004940F3" w:rsidRDefault="006B63D9">
      <w:pPr>
        <w:pStyle w:val="Balk1"/>
        <w:ind w:right="4170"/>
      </w:pPr>
      <w:r>
        <w:t>BAŞLICA AÇIKLAMALAR</w:t>
      </w:r>
    </w:p>
    <w:p w:rsidR="004940F3" w:rsidRDefault="004940F3">
      <w:pPr>
        <w:pStyle w:val="GvdeMetni"/>
        <w:rPr>
          <w:b/>
          <w:sz w:val="19"/>
        </w:rPr>
      </w:pPr>
    </w:p>
    <w:p w:rsidR="004940F3" w:rsidRDefault="006B63D9">
      <w:pPr>
        <w:pStyle w:val="ListeParagraf"/>
        <w:numPr>
          <w:ilvl w:val="0"/>
          <w:numId w:val="1"/>
        </w:numPr>
        <w:tabs>
          <w:tab w:val="left" w:pos="463"/>
          <w:tab w:val="left" w:pos="464"/>
        </w:tabs>
        <w:spacing w:before="0"/>
        <w:ind w:right="0" w:hanging="358"/>
        <w:jc w:val="left"/>
        <w:rPr>
          <w:sz w:val="18"/>
        </w:rPr>
      </w:pPr>
      <w:proofErr w:type="spellStart"/>
      <w:r>
        <w:rPr>
          <w:sz w:val="18"/>
        </w:rPr>
        <w:t>Yukarıdaki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tabloda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payı</w:t>
      </w:r>
      <w:proofErr w:type="spellEnd"/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ücreti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tutarları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Güz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Yarıyılını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kapsamaktadır</w:t>
      </w:r>
      <w:proofErr w:type="spellEnd"/>
      <w:r>
        <w:rPr>
          <w:sz w:val="18"/>
        </w:rPr>
        <w:t>.</w:t>
      </w:r>
    </w:p>
    <w:p w:rsidR="004940F3" w:rsidRDefault="004940F3">
      <w:pPr>
        <w:pStyle w:val="GvdeMetni"/>
        <w:spacing w:before="11"/>
        <w:rPr>
          <w:sz w:val="17"/>
        </w:rPr>
      </w:pPr>
    </w:p>
    <w:p w:rsidR="004940F3" w:rsidRDefault="006B63D9">
      <w:pPr>
        <w:pStyle w:val="ListeParagraf"/>
        <w:numPr>
          <w:ilvl w:val="0"/>
          <w:numId w:val="1"/>
        </w:numPr>
        <w:tabs>
          <w:tab w:val="left" w:pos="464"/>
        </w:tabs>
        <w:ind w:right="212" w:hanging="358"/>
        <w:rPr>
          <w:sz w:val="18"/>
        </w:rPr>
      </w:pPr>
      <w:r>
        <w:rPr>
          <w:sz w:val="18"/>
        </w:rPr>
        <w:t xml:space="preserve">Normal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içerisindeki</w:t>
      </w:r>
      <w:proofErr w:type="spellEnd"/>
      <w:r>
        <w:rPr>
          <w:sz w:val="18"/>
        </w:rPr>
        <w:t xml:space="preserve"> normal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payı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harç</w:t>
      </w:r>
      <w:proofErr w:type="spellEnd"/>
      <w:r>
        <w:rPr>
          <w:sz w:val="18"/>
        </w:rPr>
        <w:t xml:space="preserve">) </w:t>
      </w:r>
      <w:proofErr w:type="spellStart"/>
      <w:r>
        <w:rPr>
          <w:b/>
          <w:sz w:val="18"/>
          <w:u w:val="single"/>
        </w:rPr>
        <w:t>ödemeyecektir</w:t>
      </w:r>
      <w:proofErr w:type="spellEnd"/>
      <w:r>
        <w:rPr>
          <w:sz w:val="18"/>
        </w:rPr>
        <w:t xml:space="preserve">. Normal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süresinin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aşılması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yukarıdaki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tabloda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payını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ödeyecektir</w:t>
      </w:r>
      <w:proofErr w:type="spellEnd"/>
      <w:r>
        <w:rPr>
          <w:sz w:val="18"/>
        </w:rPr>
        <w:t>.</w:t>
      </w:r>
    </w:p>
    <w:p w:rsidR="004940F3" w:rsidRDefault="004940F3">
      <w:pPr>
        <w:pStyle w:val="GvdeMetni"/>
        <w:spacing w:before="8"/>
        <w:rPr>
          <w:sz w:val="20"/>
        </w:rPr>
      </w:pPr>
    </w:p>
    <w:p w:rsidR="004940F3" w:rsidRDefault="006B63D9">
      <w:pPr>
        <w:pStyle w:val="ListeParagraf"/>
        <w:numPr>
          <w:ilvl w:val="0"/>
          <w:numId w:val="1"/>
        </w:numPr>
        <w:tabs>
          <w:tab w:val="left" w:pos="464"/>
        </w:tabs>
        <w:ind w:hanging="358"/>
        <w:rPr>
          <w:sz w:val="18"/>
        </w:rPr>
      </w:pP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programının</w:t>
      </w:r>
      <w:proofErr w:type="spellEnd"/>
      <w:r>
        <w:rPr>
          <w:sz w:val="18"/>
        </w:rPr>
        <w:t xml:space="preserve"> normal </w:t>
      </w:r>
      <w:proofErr w:type="spellStart"/>
      <w:r>
        <w:rPr>
          <w:sz w:val="18"/>
        </w:rPr>
        <w:t>öğretimine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yaptırılması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 w:rsidR="009E20D7">
        <w:rPr>
          <w:sz w:val="18"/>
        </w:rPr>
        <w:t>,</w:t>
      </w:r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payları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karşılanır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tarihlerinde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payı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alınamaması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payları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Rektörlükçe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belirlenecek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tarihlerde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daha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sonra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tahsil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edilecektir</w:t>
      </w:r>
      <w:proofErr w:type="spellEnd"/>
      <w:r>
        <w:rPr>
          <w:sz w:val="18"/>
        </w:rPr>
        <w:t>.</w:t>
      </w:r>
    </w:p>
    <w:p w:rsidR="004940F3" w:rsidRDefault="004940F3">
      <w:pPr>
        <w:pStyle w:val="GvdeMetni"/>
        <w:spacing w:before="11"/>
        <w:rPr>
          <w:sz w:val="17"/>
        </w:rPr>
      </w:pPr>
    </w:p>
    <w:p w:rsidR="004940F3" w:rsidRDefault="006B63D9">
      <w:pPr>
        <w:pStyle w:val="ListeParagraf"/>
        <w:numPr>
          <w:ilvl w:val="0"/>
          <w:numId w:val="1"/>
        </w:numPr>
        <w:tabs>
          <w:tab w:val="left" w:pos="464"/>
        </w:tabs>
        <w:ind w:left="468" w:right="214" w:hanging="357"/>
        <w:rPr>
          <w:sz w:val="18"/>
        </w:rPr>
      </w:pPr>
      <w:proofErr w:type="spellStart"/>
      <w:r>
        <w:rPr>
          <w:sz w:val="18"/>
        </w:rPr>
        <w:t>İkinci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yukarıdaki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tabloda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ücretini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harç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ödeyecektir</w:t>
      </w:r>
      <w:proofErr w:type="spellEnd"/>
      <w:r>
        <w:rPr>
          <w:sz w:val="18"/>
        </w:rPr>
        <w:t xml:space="preserve">. İlk </w:t>
      </w:r>
      <w:proofErr w:type="spellStart"/>
      <w:r>
        <w:rPr>
          <w:sz w:val="18"/>
        </w:rPr>
        <w:t>yüzde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onluk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dilime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giren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öğrencisi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yukarıdaki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tabloda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normal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payı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ödeyecektir</w:t>
      </w:r>
      <w:proofErr w:type="spellEnd"/>
      <w:r>
        <w:rPr>
          <w:sz w:val="18"/>
        </w:rPr>
        <w:t>.</w:t>
      </w:r>
    </w:p>
    <w:p w:rsidR="004940F3" w:rsidRDefault="004940F3">
      <w:pPr>
        <w:pStyle w:val="GvdeMetni"/>
        <w:spacing w:before="7"/>
        <w:rPr>
          <w:sz w:val="20"/>
        </w:rPr>
      </w:pPr>
    </w:p>
    <w:p w:rsidR="004940F3" w:rsidRDefault="006B63D9">
      <w:pPr>
        <w:pStyle w:val="ListeParagraf"/>
        <w:numPr>
          <w:ilvl w:val="0"/>
          <w:numId w:val="1"/>
        </w:numPr>
        <w:tabs>
          <w:tab w:val="left" w:pos="463"/>
        </w:tabs>
        <w:spacing w:before="0"/>
        <w:ind w:left="468" w:hanging="357"/>
        <w:rPr>
          <w:sz w:val="18"/>
        </w:rPr>
      </w:pPr>
      <w:proofErr w:type="spellStart"/>
      <w:r>
        <w:rPr>
          <w:sz w:val="18"/>
        </w:rPr>
        <w:t>İkinci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sınıfında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görmeye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yaptırdıkları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ödeyecekler</w:t>
      </w:r>
      <w:proofErr w:type="spellEnd"/>
      <w:r>
        <w:rPr>
          <w:sz w:val="18"/>
        </w:rPr>
        <w:t>.</w:t>
      </w:r>
    </w:p>
    <w:p w:rsidR="004940F3" w:rsidRDefault="004940F3">
      <w:pPr>
        <w:pStyle w:val="GvdeMetni"/>
        <w:spacing w:before="8"/>
        <w:rPr>
          <w:sz w:val="20"/>
        </w:rPr>
      </w:pPr>
    </w:p>
    <w:p w:rsidR="004940F3" w:rsidRDefault="006B63D9">
      <w:pPr>
        <w:pStyle w:val="Balk1"/>
        <w:spacing w:before="1"/>
        <w:ind w:left="4379"/>
      </w:pPr>
      <w:r>
        <w:t>ÖĞRENİM ÜCRETİ ÖDEME ŞEKLİ</w:t>
      </w:r>
    </w:p>
    <w:p w:rsidR="004940F3" w:rsidRDefault="004940F3">
      <w:pPr>
        <w:pStyle w:val="GvdeMetni"/>
        <w:spacing w:before="4"/>
        <w:rPr>
          <w:b/>
          <w:sz w:val="23"/>
        </w:rPr>
      </w:pPr>
    </w:p>
    <w:p w:rsidR="004940F3" w:rsidRDefault="006B63D9">
      <w:pPr>
        <w:pStyle w:val="ListeParagraf"/>
        <w:numPr>
          <w:ilvl w:val="0"/>
          <w:numId w:val="1"/>
        </w:numPr>
        <w:tabs>
          <w:tab w:val="left" w:pos="542"/>
        </w:tabs>
        <w:ind w:left="475" w:right="225" w:hanging="360"/>
        <w:rPr>
          <w:sz w:val="18"/>
        </w:rPr>
      </w:pP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ücretleri</w:t>
      </w:r>
      <w:proofErr w:type="spellEnd"/>
      <w:r>
        <w:rPr>
          <w:sz w:val="18"/>
        </w:rPr>
        <w:t xml:space="preserve"> </w:t>
      </w:r>
      <w:r w:rsidR="009E20D7">
        <w:rPr>
          <w:sz w:val="18"/>
        </w:rPr>
        <w:t>11.09.2017</w:t>
      </w:r>
      <w:r>
        <w:rPr>
          <w:b/>
          <w:sz w:val="18"/>
        </w:rPr>
        <w:t xml:space="preserve"> </w:t>
      </w:r>
      <w:proofErr w:type="spellStart"/>
      <w:r w:rsidRPr="009E20D7">
        <w:rPr>
          <w:sz w:val="18"/>
        </w:rPr>
        <w:t>tarihinden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sz w:val="18"/>
        </w:rPr>
        <w:t>itibaren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r>
        <w:rPr>
          <w:sz w:val="18"/>
          <w:u w:val="single"/>
        </w:rPr>
        <w:t>dece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Z</w:t>
      </w:r>
      <w:r>
        <w:rPr>
          <w:sz w:val="18"/>
        </w:rPr>
        <w:t>iraat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Bankası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ATM’lerinden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Ziraat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Bankası</w:t>
      </w:r>
      <w:proofErr w:type="spellEnd"/>
      <w:r>
        <w:rPr>
          <w:sz w:val="18"/>
        </w:rPr>
        <w:t xml:space="preserve"> İnternet </w:t>
      </w:r>
      <w:proofErr w:type="spellStart"/>
      <w:r>
        <w:rPr>
          <w:sz w:val="18"/>
        </w:rPr>
        <w:t>Bankacılığı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üzerinden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pacing w:val="-21"/>
          <w:sz w:val="18"/>
        </w:rPr>
        <w:t xml:space="preserve"> </w:t>
      </w:r>
      <w:proofErr w:type="spellStart"/>
      <w:r>
        <w:rPr>
          <w:sz w:val="18"/>
        </w:rPr>
        <w:t>ödenebilir</w:t>
      </w:r>
      <w:proofErr w:type="spellEnd"/>
      <w:r>
        <w:rPr>
          <w:sz w:val="18"/>
        </w:rPr>
        <w:t>.</w:t>
      </w:r>
    </w:p>
    <w:sectPr w:rsidR="004940F3">
      <w:type w:val="continuous"/>
      <w:pgSz w:w="11910" w:h="16840"/>
      <w:pgMar w:top="68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461A"/>
    <w:multiLevelType w:val="hybridMultilevel"/>
    <w:tmpl w:val="4E22C720"/>
    <w:lvl w:ilvl="0" w:tplc="BD643A42">
      <w:numFmt w:val="bullet"/>
      <w:lvlText w:val="‐"/>
      <w:lvlJc w:val="left"/>
      <w:pPr>
        <w:ind w:left="469" w:hanging="352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846242D2">
      <w:numFmt w:val="bullet"/>
      <w:lvlText w:val="•"/>
      <w:lvlJc w:val="left"/>
      <w:pPr>
        <w:ind w:left="1514" w:hanging="352"/>
      </w:pPr>
      <w:rPr>
        <w:rFonts w:hint="default"/>
      </w:rPr>
    </w:lvl>
    <w:lvl w:ilvl="2" w:tplc="C12C5782">
      <w:numFmt w:val="bullet"/>
      <w:lvlText w:val="•"/>
      <w:lvlJc w:val="left"/>
      <w:pPr>
        <w:ind w:left="2568" w:hanging="352"/>
      </w:pPr>
      <w:rPr>
        <w:rFonts w:hint="default"/>
      </w:rPr>
    </w:lvl>
    <w:lvl w:ilvl="3" w:tplc="9E28D6C6">
      <w:numFmt w:val="bullet"/>
      <w:lvlText w:val="•"/>
      <w:lvlJc w:val="left"/>
      <w:pPr>
        <w:ind w:left="3623" w:hanging="352"/>
      </w:pPr>
      <w:rPr>
        <w:rFonts w:hint="default"/>
      </w:rPr>
    </w:lvl>
    <w:lvl w:ilvl="4" w:tplc="214A9FC2">
      <w:numFmt w:val="bullet"/>
      <w:lvlText w:val="•"/>
      <w:lvlJc w:val="left"/>
      <w:pPr>
        <w:ind w:left="4677" w:hanging="352"/>
      </w:pPr>
      <w:rPr>
        <w:rFonts w:hint="default"/>
      </w:rPr>
    </w:lvl>
    <w:lvl w:ilvl="5" w:tplc="72746980">
      <w:numFmt w:val="bullet"/>
      <w:lvlText w:val="•"/>
      <w:lvlJc w:val="left"/>
      <w:pPr>
        <w:ind w:left="5732" w:hanging="352"/>
      </w:pPr>
      <w:rPr>
        <w:rFonts w:hint="default"/>
      </w:rPr>
    </w:lvl>
    <w:lvl w:ilvl="6" w:tplc="C3CC04C0">
      <w:numFmt w:val="bullet"/>
      <w:lvlText w:val="•"/>
      <w:lvlJc w:val="left"/>
      <w:pPr>
        <w:ind w:left="6786" w:hanging="352"/>
      </w:pPr>
      <w:rPr>
        <w:rFonts w:hint="default"/>
      </w:rPr>
    </w:lvl>
    <w:lvl w:ilvl="7" w:tplc="9752B800">
      <w:numFmt w:val="bullet"/>
      <w:lvlText w:val="•"/>
      <w:lvlJc w:val="left"/>
      <w:pPr>
        <w:ind w:left="7841" w:hanging="352"/>
      </w:pPr>
      <w:rPr>
        <w:rFonts w:hint="default"/>
      </w:rPr>
    </w:lvl>
    <w:lvl w:ilvl="8" w:tplc="8DD25420">
      <w:numFmt w:val="bullet"/>
      <w:lvlText w:val="•"/>
      <w:lvlJc w:val="left"/>
      <w:pPr>
        <w:ind w:left="8895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F3"/>
    <w:rsid w:val="004940F3"/>
    <w:rsid w:val="006B63D9"/>
    <w:rsid w:val="009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4144"/>
  <w15:docId w15:val="{36E31D5C-0A22-43AA-8ECA-A126CDFA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3713" w:right="4124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469" w:right="213" w:hanging="3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- 2015-2016 Kayıt Yenileme Harç  Duyurusu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- 2015-2016 Kayıt Yenileme Harç  Duyurusu</dc:title>
  <dc:creator>Özay Özgür</dc:creator>
  <cp:lastModifiedBy>YSF ctn</cp:lastModifiedBy>
  <cp:revision>3</cp:revision>
  <dcterms:created xsi:type="dcterms:W3CDTF">2017-09-06T12:40:00Z</dcterms:created>
  <dcterms:modified xsi:type="dcterms:W3CDTF">2017-09-06T12:46:00Z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