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53C" w:rsidRPr="00C425A6" w:rsidRDefault="006D553C" w:rsidP="006D553C">
      <w:pPr>
        <w:spacing w:after="0" w:line="240" w:lineRule="auto"/>
        <w:ind w:left="-425"/>
        <w:jc w:val="center"/>
        <w:rPr>
          <w:rFonts w:ascii="Times New Roman" w:hAnsi="Times New Roman" w:cs="Times New Roman"/>
          <w:b/>
          <w:sz w:val="18"/>
          <w:szCs w:val="18"/>
        </w:rPr>
      </w:pPr>
      <w:r w:rsidRPr="00C425A6">
        <w:rPr>
          <w:rFonts w:ascii="Times New Roman" w:hAnsi="Times New Roman" w:cs="Times New Roman"/>
          <w:b/>
          <w:sz w:val="18"/>
          <w:szCs w:val="18"/>
        </w:rPr>
        <w:t>T.C.</w:t>
      </w:r>
    </w:p>
    <w:p w:rsidR="006D553C" w:rsidRPr="00C425A6" w:rsidRDefault="000B410C" w:rsidP="006D553C">
      <w:pPr>
        <w:spacing w:after="0" w:line="240" w:lineRule="auto"/>
        <w:ind w:left="-425"/>
        <w:jc w:val="center"/>
        <w:rPr>
          <w:rFonts w:ascii="Times New Roman" w:hAnsi="Times New Roman" w:cs="Times New Roman"/>
          <w:b/>
          <w:sz w:val="18"/>
          <w:szCs w:val="18"/>
        </w:rPr>
      </w:pPr>
      <w:r w:rsidRPr="00C425A6">
        <w:rPr>
          <w:rFonts w:ascii="Times New Roman" w:hAnsi="Times New Roman" w:cs="Times New Roman"/>
          <w:b/>
          <w:sz w:val="18"/>
          <w:szCs w:val="18"/>
        </w:rPr>
        <w:t xml:space="preserve">KÜTAHYA </w:t>
      </w:r>
      <w:r w:rsidR="006D553C" w:rsidRPr="00C425A6">
        <w:rPr>
          <w:rFonts w:ascii="Times New Roman" w:hAnsi="Times New Roman" w:cs="Times New Roman"/>
          <w:b/>
          <w:sz w:val="18"/>
          <w:szCs w:val="18"/>
        </w:rPr>
        <w:t>DUMLUPINAR ÜNİVERSİTESİ</w:t>
      </w:r>
    </w:p>
    <w:p w:rsidR="007E2A63" w:rsidRPr="00C425A6" w:rsidRDefault="007F2B7C" w:rsidP="00C425A6">
      <w:pPr>
        <w:spacing w:after="0" w:line="276" w:lineRule="auto"/>
        <w:ind w:left="-425"/>
        <w:jc w:val="center"/>
        <w:rPr>
          <w:rFonts w:ascii="Times New Roman" w:hAnsi="Times New Roman" w:cs="Times New Roman"/>
          <w:b/>
          <w:sz w:val="18"/>
          <w:szCs w:val="18"/>
        </w:rPr>
      </w:pPr>
      <w:r w:rsidRPr="00C425A6">
        <w:rPr>
          <w:rFonts w:ascii="Times New Roman" w:hAnsi="Times New Roman" w:cs="Times New Roman"/>
          <w:b/>
          <w:sz w:val="18"/>
          <w:szCs w:val="18"/>
        </w:rPr>
        <w:t>İdari</w:t>
      </w:r>
      <w:r w:rsidR="00FC0ACD" w:rsidRPr="00C425A6">
        <w:rPr>
          <w:rFonts w:ascii="Times New Roman" w:hAnsi="Times New Roman" w:cs="Times New Roman"/>
          <w:b/>
          <w:sz w:val="18"/>
          <w:szCs w:val="18"/>
        </w:rPr>
        <w:t xml:space="preserve"> Personel</w:t>
      </w:r>
      <w:r w:rsidR="00A51A1A" w:rsidRPr="00C425A6">
        <w:rPr>
          <w:rFonts w:ascii="Times New Roman" w:hAnsi="Times New Roman" w:cs="Times New Roman"/>
          <w:b/>
          <w:sz w:val="18"/>
          <w:szCs w:val="18"/>
        </w:rPr>
        <w:t xml:space="preserve"> Memnuniyet Analizi</w:t>
      </w:r>
    </w:p>
    <w:p w:rsidR="007E19E1" w:rsidRPr="00C425A6" w:rsidRDefault="00217140" w:rsidP="00295A3C">
      <w:pPr>
        <w:spacing w:after="0" w:line="240" w:lineRule="auto"/>
        <w:ind w:left="-425"/>
        <w:jc w:val="center"/>
        <w:rPr>
          <w:rFonts w:ascii="Times New Roman" w:hAnsi="Times New Roman" w:cs="Times New Roman"/>
          <w:b/>
          <w:sz w:val="18"/>
          <w:szCs w:val="18"/>
        </w:rPr>
      </w:pPr>
      <w:r w:rsidRPr="00C425A6">
        <w:rPr>
          <w:rFonts w:ascii="Times New Roman" w:hAnsi="Times New Roman" w:cs="Times New Roman"/>
          <w:b/>
          <w:sz w:val="18"/>
          <w:szCs w:val="18"/>
        </w:rPr>
        <w:t>2021-</w:t>
      </w:r>
      <w:r w:rsidR="00C217B5" w:rsidRPr="00C425A6">
        <w:rPr>
          <w:rFonts w:ascii="Times New Roman" w:hAnsi="Times New Roman" w:cs="Times New Roman"/>
          <w:b/>
          <w:sz w:val="18"/>
          <w:szCs w:val="18"/>
        </w:rPr>
        <w:t>2022</w:t>
      </w:r>
      <w:r w:rsidRPr="00C425A6">
        <w:rPr>
          <w:rFonts w:ascii="Times New Roman" w:hAnsi="Times New Roman" w:cs="Times New Roman"/>
          <w:b/>
          <w:sz w:val="18"/>
          <w:szCs w:val="18"/>
        </w:rPr>
        <w:t xml:space="preserve"> Akademik Yılı</w:t>
      </w:r>
    </w:p>
    <w:p w:rsidR="00F1432D" w:rsidRPr="00C425A6" w:rsidRDefault="00A6651F" w:rsidP="003B6BA4">
      <w:pPr>
        <w:spacing w:before="60" w:after="60" w:line="240" w:lineRule="auto"/>
        <w:ind w:left="-284" w:firstLine="567"/>
        <w:jc w:val="both"/>
        <w:rPr>
          <w:rFonts w:ascii="Times New Roman" w:hAnsi="Times New Roman" w:cs="Times New Roman"/>
          <w:sz w:val="18"/>
          <w:szCs w:val="18"/>
        </w:rPr>
      </w:pPr>
      <w:r w:rsidRPr="00C425A6">
        <w:rPr>
          <w:rFonts w:ascii="Times New Roman" w:hAnsi="Times New Roman" w:cs="Times New Roman"/>
          <w:sz w:val="18"/>
          <w:szCs w:val="18"/>
        </w:rPr>
        <w:t>2021-2022 Akademik Yılı itibariyle, Kütahya Dumlupınar Üniversitesi’nin farklı birimlerinde toplam XXX idari personel görev yapmaktadır. İç paydaş memnuniyet analizi kapsamında, üniversitemizde görev yapan idari personele 4</w:t>
      </w:r>
      <w:r w:rsidR="00DF444B" w:rsidRPr="00C425A6">
        <w:rPr>
          <w:rFonts w:ascii="Times New Roman" w:hAnsi="Times New Roman" w:cs="Times New Roman"/>
          <w:sz w:val="18"/>
          <w:szCs w:val="18"/>
        </w:rPr>
        <w:t>4</w:t>
      </w:r>
      <w:r w:rsidRPr="00C425A6">
        <w:rPr>
          <w:rFonts w:ascii="Times New Roman" w:hAnsi="Times New Roman" w:cs="Times New Roman"/>
          <w:sz w:val="18"/>
          <w:szCs w:val="18"/>
        </w:rPr>
        <w:t xml:space="preserve"> sorudan oluşan memnuniyet anketi uygulanmıştır. Bu anket ile idari personelin DPÜ’ nün (ve çalıştığı birimin) bir personeli olmaktan duyduğu memnuniyet düzeyinin, başkalarına DPÜ’ de çalışmayı tavsiye edip etmeyeceğinin ve Üniversite’den olan beklentilerinin tespit edilmesi amaçlanmıştır. Anketi cevaplayan 167 idari personelin </w:t>
      </w:r>
      <w:r w:rsidR="00B90801" w:rsidRPr="00C425A6">
        <w:rPr>
          <w:rFonts w:ascii="Times New Roman" w:hAnsi="Times New Roman" w:cs="Times New Roman"/>
          <w:sz w:val="18"/>
          <w:szCs w:val="18"/>
        </w:rPr>
        <w:t>cevapları 4 (dört) farklı tabloda özetlenmiştir.</w:t>
      </w:r>
    </w:p>
    <w:tbl>
      <w:tblPr>
        <w:tblStyle w:val="TabloKlavuzu"/>
        <w:tblW w:w="11370" w:type="dxa"/>
        <w:tblInd w:w="-318" w:type="dxa"/>
        <w:tblLayout w:type="fixed"/>
        <w:tblLook w:val="04A0" w:firstRow="1" w:lastRow="0" w:firstColumn="1" w:lastColumn="0" w:noHBand="0" w:noVBand="1"/>
      </w:tblPr>
      <w:tblGrid>
        <w:gridCol w:w="455"/>
        <w:gridCol w:w="8222"/>
        <w:gridCol w:w="850"/>
        <w:gridCol w:w="709"/>
        <w:gridCol w:w="1134"/>
      </w:tblGrid>
      <w:tr w:rsidR="00096BC1" w:rsidRPr="00430EF1" w:rsidTr="00A236DD">
        <w:trPr>
          <w:cantSplit/>
          <w:trHeight w:val="306"/>
        </w:trPr>
        <w:tc>
          <w:tcPr>
            <w:tcW w:w="8677" w:type="dxa"/>
            <w:gridSpan w:val="2"/>
            <w:vMerge w:val="restart"/>
          </w:tcPr>
          <w:p w:rsidR="00DB6889" w:rsidRDefault="00DB6889" w:rsidP="009B5608">
            <w:pPr>
              <w:jc w:val="center"/>
              <w:rPr>
                <w:rFonts w:ascii="Times New Roman" w:hAnsi="Times New Roman" w:cs="Times New Roman"/>
                <w:b/>
                <w:sz w:val="24"/>
                <w:szCs w:val="24"/>
              </w:rPr>
            </w:pPr>
          </w:p>
          <w:p w:rsidR="00616E7B" w:rsidRPr="00280BDD" w:rsidRDefault="00DB6889" w:rsidP="009B5608">
            <w:pPr>
              <w:jc w:val="center"/>
              <w:rPr>
                <w:rFonts w:ascii="Times New Roman" w:hAnsi="Times New Roman" w:cs="Times New Roman"/>
                <w:sz w:val="20"/>
                <w:szCs w:val="20"/>
              </w:rPr>
            </w:pPr>
            <w:r w:rsidRPr="00280BDD">
              <w:rPr>
                <w:rFonts w:ascii="Times New Roman" w:hAnsi="Times New Roman" w:cs="Times New Roman"/>
                <w:b/>
                <w:sz w:val="20"/>
                <w:szCs w:val="20"/>
              </w:rPr>
              <w:t xml:space="preserve">Tablo </w:t>
            </w:r>
            <w:r w:rsidR="00521097" w:rsidRPr="00280BDD">
              <w:rPr>
                <w:rFonts w:ascii="Times New Roman" w:hAnsi="Times New Roman" w:cs="Times New Roman"/>
                <w:b/>
                <w:sz w:val="20"/>
                <w:szCs w:val="20"/>
              </w:rPr>
              <w:t>1</w:t>
            </w:r>
            <w:r w:rsidRPr="00280BDD">
              <w:rPr>
                <w:rFonts w:ascii="Times New Roman" w:hAnsi="Times New Roman" w:cs="Times New Roman"/>
                <w:b/>
                <w:sz w:val="20"/>
                <w:szCs w:val="20"/>
              </w:rPr>
              <w:t xml:space="preserve">: </w:t>
            </w:r>
            <w:r w:rsidR="00616E7B" w:rsidRPr="00280BDD">
              <w:rPr>
                <w:rFonts w:ascii="Times New Roman" w:hAnsi="Times New Roman" w:cs="Times New Roman"/>
                <w:sz w:val="20"/>
                <w:szCs w:val="20"/>
              </w:rPr>
              <w:t>Memnuniyet, Kararsızlık ve Memnuniyetsizlik Yüzdeleri (%)</w:t>
            </w:r>
          </w:p>
          <w:p w:rsidR="00DB6889" w:rsidRPr="00430EF1" w:rsidRDefault="00DB6889" w:rsidP="009B5608">
            <w:pPr>
              <w:jc w:val="center"/>
              <w:rPr>
                <w:rFonts w:ascii="Times New Roman" w:hAnsi="Times New Roman" w:cs="Times New Roman"/>
                <w:sz w:val="20"/>
                <w:szCs w:val="20"/>
              </w:rPr>
            </w:pPr>
            <w:r w:rsidRPr="00280BDD">
              <w:rPr>
                <w:rFonts w:ascii="Times New Roman" w:hAnsi="Times New Roman" w:cs="Times New Roman"/>
                <w:sz w:val="20"/>
                <w:szCs w:val="20"/>
              </w:rPr>
              <w:t>Ankete katılan idari personel sayısı: 167</w:t>
            </w:r>
          </w:p>
        </w:tc>
        <w:tc>
          <w:tcPr>
            <w:tcW w:w="2693" w:type="dxa"/>
            <w:gridSpan w:val="3"/>
            <w:vAlign w:val="center"/>
          </w:tcPr>
          <w:p w:rsidR="00DB6889" w:rsidRPr="008972F3" w:rsidRDefault="00DB6889" w:rsidP="009B5608">
            <w:pPr>
              <w:jc w:val="center"/>
              <w:rPr>
                <w:rFonts w:ascii="Times New Roman" w:hAnsi="Times New Roman" w:cs="Times New Roman"/>
                <w:sz w:val="14"/>
                <w:szCs w:val="14"/>
              </w:rPr>
            </w:pPr>
            <w:r w:rsidRPr="008972F3">
              <w:rPr>
                <w:rFonts w:ascii="Times New Roman" w:hAnsi="Times New Roman" w:cs="Times New Roman"/>
                <w:sz w:val="14"/>
                <w:szCs w:val="14"/>
              </w:rPr>
              <w:t>MEMNUNİYET DÜZEYİ</w:t>
            </w:r>
          </w:p>
        </w:tc>
      </w:tr>
      <w:tr w:rsidR="00521097" w:rsidRPr="00430EF1" w:rsidTr="00910AA7">
        <w:trPr>
          <w:cantSplit/>
          <w:trHeight w:val="848"/>
        </w:trPr>
        <w:tc>
          <w:tcPr>
            <w:tcW w:w="8677" w:type="dxa"/>
            <w:gridSpan w:val="2"/>
            <w:vMerge/>
            <w:tcBorders>
              <w:bottom w:val="single" w:sz="4" w:space="0" w:color="auto"/>
            </w:tcBorders>
          </w:tcPr>
          <w:p w:rsidR="00D11F1B" w:rsidRPr="00430EF1" w:rsidRDefault="00D11F1B" w:rsidP="009B5608">
            <w:pPr>
              <w:rPr>
                <w:rFonts w:ascii="Times New Roman" w:hAnsi="Times New Roman" w:cs="Times New Roman"/>
                <w:sz w:val="20"/>
                <w:szCs w:val="20"/>
              </w:rPr>
            </w:pPr>
          </w:p>
        </w:tc>
        <w:tc>
          <w:tcPr>
            <w:tcW w:w="850" w:type="dxa"/>
            <w:tcBorders>
              <w:bottom w:val="single" w:sz="4" w:space="0" w:color="auto"/>
            </w:tcBorders>
            <w:shd w:val="clear" w:color="auto" w:fill="E7F9FF"/>
            <w:textDirection w:val="btLr"/>
            <w:vAlign w:val="center"/>
          </w:tcPr>
          <w:p w:rsidR="00D11F1B" w:rsidRPr="008972F3" w:rsidRDefault="00D11F1B" w:rsidP="009B5608">
            <w:pPr>
              <w:ind w:left="113" w:right="113"/>
              <w:jc w:val="center"/>
              <w:rPr>
                <w:rFonts w:ascii="Times New Roman" w:hAnsi="Times New Roman" w:cs="Times New Roman"/>
                <w:color w:val="00B050"/>
                <w:sz w:val="12"/>
                <w:szCs w:val="12"/>
              </w:rPr>
            </w:pPr>
            <w:r w:rsidRPr="008972F3">
              <w:rPr>
                <w:rFonts w:ascii="Times New Roman" w:hAnsi="Times New Roman" w:cs="Times New Roman"/>
                <w:color w:val="00B050"/>
                <w:sz w:val="12"/>
                <w:szCs w:val="12"/>
              </w:rPr>
              <w:t>Çok memnunum &amp; Memnunum</w:t>
            </w:r>
          </w:p>
        </w:tc>
        <w:tc>
          <w:tcPr>
            <w:tcW w:w="709" w:type="dxa"/>
            <w:tcBorders>
              <w:bottom w:val="single" w:sz="4" w:space="0" w:color="auto"/>
            </w:tcBorders>
            <w:textDirection w:val="btLr"/>
            <w:vAlign w:val="center"/>
          </w:tcPr>
          <w:p w:rsidR="00D11F1B" w:rsidRPr="008972F3" w:rsidRDefault="00D11F1B" w:rsidP="00910AA7">
            <w:pPr>
              <w:ind w:left="113" w:right="113"/>
              <w:jc w:val="center"/>
              <w:rPr>
                <w:rFonts w:ascii="Times New Roman" w:hAnsi="Times New Roman" w:cs="Times New Roman"/>
                <w:sz w:val="12"/>
                <w:szCs w:val="12"/>
              </w:rPr>
            </w:pPr>
            <w:r w:rsidRPr="008972F3">
              <w:rPr>
                <w:rFonts w:ascii="Times New Roman" w:hAnsi="Times New Roman" w:cs="Times New Roman"/>
                <w:sz w:val="12"/>
                <w:szCs w:val="12"/>
              </w:rPr>
              <w:t>Kararsızım</w:t>
            </w:r>
          </w:p>
        </w:tc>
        <w:tc>
          <w:tcPr>
            <w:tcW w:w="1134" w:type="dxa"/>
            <w:tcBorders>
              <w:bottom w:val="single" w:sz="4" w:space="0" w:color="auto"/>
            </w:tcBorders>
            <w:shd w:val="clear" w:color="auto" w:fill="FCEEE4"/>
            <w:textDirection w:val="btLr"/>
          </w:tcPr>
          <w:p w:rsidR="00D11F1B" w:rsidRPr="008972F3" w:rsidRDefault="00D11F1B" w:rsidP="009B5608">
            <w:pPr>
              <w:ind w:left="113" w:right="113"/>
              <w:jc w:val="center"/>
              <w:rPr>
                <w:rFonts w:ascii="Times New Roman" w:hAnsi="Times New Roman" w:cs="Times New Roman"/>
                <w:sz w:val="12"/>
                <w:szCs w:val="12"/>
              </w:rPr>
            </w:pPr>
            <w:r w:rsidRPr="008972F3">
              <w:rPr>
                <w:rFonts w:ascii="Times New Roman" w:hAnsi="Times New Roman" w:cs="Times New Roman"/>
                <w:color w:val="FF0000"/>
                <w:sz w:val="12"/>
                <w:szCs w:val="12"/>
              </w:rPr>
              <w:t>Memnun değilim &amp; Hiç memnun değilim</w:t>
            </w:r>
          </w:p>
        </w:tc>
      </w:tr>
      <w:tr w:rsidR="00DE014A" w:rsidRPr="00350583" w:rsidTr="00D55797">
        <w:trPr>
          <w:trHeight w:val="240"/>
        </w:trPr>
        <w:tc>
          <w:tcPr>
            <w:tcW w:w="455" w:type="dxa"/>
          </w:tcPr>
          <w:p w:rsidR="006E0393" w:rsidRPr="00E24768" w:rsidRDefault="006E0393" w:rsidP="009B5608"/>
        </w:tc>
        <w:tc>
          <w:tcPr>
            <w:tcW w:w="8222" w:type="dxa"/>
          </w:tcPr>
          <w:p w:rsidR="006E0393" w:rsidRPr="00E24768" w:rsidRDefault="006E0393" w:rsidP="009B5608"/>
        </w:tc>
        <w:tc>
          <w:tcPr>
            <w:tcW w:w="850" w:type="dxa"/>
            <w:shd w:val="clear" w:color="auto" w:fill="E7F9FF"/>
          </w:tcPr>
          <w:p w:rsidR="006E0393" w:rsidRPr="00C371C8" w:rsidRDefault="006E0393" w:rsidP="00C371C8">
            <w:pPr>
              <w:jc w:val="center"/>
              <w:rPr>
                <w:rFonts w:ascii="Times New Roman" w:hAnsi="Times New Roman" w:cs="Times New Roman"/>
                <w:color w:val="00B050"/>
                <w:sz w:val="18"/>
                <w:szCs w:val="18"/>
              </w:rPr>
            </w:pPr>
            <w:r w:rsidRPr="00C371C8">
              <w:rPr>
                <w:rFonts w:ascii="Times New Roman" w:hAnsi="Times New Roman" w:cs="Times New Roman"/>
                <w:color w:val="00B050"/>
                <w:sz w:val="18"/>
                <w:szCs w:val="18"/>
              </w:rPr>
              <w:t>%</w:t>
            </w:r>
          </w:p>
        </w:tc>
        <w:tc>
          <w:tcPr>
            <w:tcW w:w="709" w:type="dxa"/>
          </w:tcPr>
          <w:p w:rsidR="006E0393" w:rsidRPr="00C371C8" w:rsidRDefault="006E0393" w:rsidP="00C371C8">
            <w:pPr>
              <w:jc w:val="center"/>
              <w:rPr>
                <w:rFonts w:ascii="Times New Roman" w:hAnsi="Times New Roman" w:cs="Times New Roman"/>
                <w:sz w:val="18"/>
                <w:szCs w:val="18"/>
              </w:rPr>
            </w:pPr>
            <w:r w:rsidRPr="00C371C8">
              <w:rPr>
                <w:rFonts w:ascii="Times New Roman" w:hAnsi="Times New Roman" w:cs="Times New Roman"/>
                <w:sz w:val="18"/>
                <w:szCs w:val="18"/>
              </w:rPr>
              <w:t>%</w:t>
            </w:r>
          </w:p>
        </w:tc>
        <w:tc>
          <w:tcPr>
            <w:tcW w:w="1134" w:type="dxa"/>
            <w:shd w:val="clear" w:color="auto" w:fill="FCEEE4"/>
          </w:tcPr>
          <w:p w:rsidR="006E0393" w:rsidRPr="00C371C8" w:rsidRDefault="006E0393" w:rsidP="00C371C8">
            <w:pPr>
              <w:jc w:val="center"/>
              <w:rPr>
                <w:rFonts w:ascii="Times New Roman" w:hAnsi="Times New Roman" w:cs="Times New Roman"/>
                <w:sz w:val="18"/>
                <w:szCs w:val="18"/>
              </w:rPr>
            </w:pPr>
            <w:r w:rsidRPr="00C371C8">
              <w:rPr>
                <w:rFonts w:ascii="Times New Roman" w:hAnsi="Times New Roman" w:cs="Times New Roman"/>
                <w:color w:val="FF0000"/>
                <w:sz w:val="18"/>
                <w:szCs w:val="18"/>
              </w:rPr>
              <w:t>%</w:t>
            </w:r>
          </w:p>
        </w:tc>
      </w:tr>
      <w:tr w:rsidR="00521097" w:rsidRPr="009E5C8F" w:rsidTr="00D55797">
        <w:tc>
          <w:tcPr>
            <w:tcW w:w="455" w:type="dxa"/>
            <w:vAlign w:val="center"/>
          </w:tcPr>
          <w:p w:rsidR="00602C93" w:rsidRPr="009E5C8F" w:rsidRDefault="00602C93" w:rsidP="00B83946">
            <w:pPr>
              <w:spacing w:before="60" w:after="60"/>
              <w:jc w:val="center"/>
              <w:rPr>
                <w:rFonts w:ascii="Times New Roman" w:hAnsi="Times New Roman" w:cs="Times New Roman"/>
                <w:sz w:val="16"/>
                <w:szCs w:val="16"/>
              </w:rPr>
            </w:pPr>
            <w:r w:rsidRPr="009E5C8F">
              <w:rPr>
                <w:rFonts w:ascii="Times New Roman" w:hAnsi="Times New Roman" w:cs="Times New Roman"/>
                <w:sz w:val="16"/>
                <w:szCs w:val="16"/>
              </w:rPr>
              <w:t>1</w:t>
            </w:r>
          </w:p>
        </w:tc>
        <w:tc>
          <w:tcPr>
            <w:tcW w:w="8222" w:type="dxa"/>
          </w:tcPr>
          <w:p w:rsidR="00602C93" w:rsidRPr="009E5C8F" w:rsidRDefault="00602C93" w:rsidP="00602C93">
            <w:pPr>
              <w:spacing w:before="60" w:after="60"/>
              <w:jc w:val="both"/>
              <w:rPr>
                <w:rFonts w:ascii="Times New Roman" w:hAnsi="Times New Roman" w:cs="Times New Roman"/>
                <w:sz w:val="16"/>
                <w:szCs w:val="16"/>
              </w:rPr>
            </w:pPr>
            <w:r w:rsidRPr="009E5C8F">
              <w:rPr>
                <w:rFonts w:ascii="Times New Roman" w:hAnsi="Times New Roman" w:cs="Times New Roman"/>
                <w:sz w:val="16"/>
                <w:szCs w:val="16"/>
              </w:rPr>
              <w:t>Üniversitemizin kurumsallaşma düzeyinden</w:t>
            </w:r>
          </w:p>
        </w:tc>
        <w:tc>
          <w:tcPr>
            <w:tcW w:w="850" w:type="dxa"/>
            <w:shd w:val="clear" w:color="auto" w:fill="E7F9FF"/>
            <w:vAlign w:val="center"/>
          </w:tcPr>
          <w:p w:rsidR="00602C93" w:rsidRPr="00A5086E" w:rsidRDefault="00602C93" w:rsidP="001D7D91">
            <w:pPr>
              <w:jc w:val="center"/>
              <w:rPr>
                <w:rFonts w:ascii="Times New Roman" w:hAnsi="Times New Roman" w:cs="Times New Roman"/>
                <w:b/>
                <w:color w:val="00B050"/>
                <w:sz w:val="20"/>
                <w:szCs w:val="20"/>
              </w:rPr>
            </w:pPr>
            <w:r w:rsidRPr="00A5086E">
              <w:rPr>
                <w:rFonts w:ascii="Times New Roman" w:hAnsi="Times New Roman" w:cs="Times New Roman"/>
                <w:b/>
                <w:color w:val="00B050"/>
                <w:sz w:val="20"/>
                <w:szCs w:val="20"/>
              </w:rPr>
              <w:t>47,30</w:t>
            </w:r>
          </w:p>
        </w:tc>
        <w:tc>
          <w:tcPr>
            <w:tcW w:w="709" w:type="dxa"/>
            <w:vAlign w:val="center"/>
          </w:tcPr>
          <w:p w:rsidR="00602C93" w:rsidRPr="00C371C8" w:rsidRDefault="00602C93" w:rsidP="001D7D91">
            <w:pPr>
              <w:jc w:val="center"/>
              <w:rPr>
                <w:rFonts w:ascii="Times New Roman" w:hAnsi="Times New Roman" w:cs="Times New Roman"/>
                <w:sz w:val="18"/>
                <w:szCs w:val="18"/>
              </w:rPr>
            </w:pPr>
            <w:r w:rsidRPr="00C371C8">
              <w:rPr>
                <w:rFonts w:ascii="Times New Roman" w:hAnsi="Times New Roman" w:cs="Times New Roman"/>
                <w:sz w:val="18"/>
                <w:szCs w:val="18"/>
              </w:rPr>
              <w:t>17,37</w:t>
            </w:r>
          </w:p>
        </w:tc>
        <w:tc>
          <w:tcPr>
            <w:tcW w:w="1134" w:type="dxa"/>
            <w:shd w:val="clear" w:color="auto" w:fill="FCEEE4"/>
            <w:vAlign w:val="center"/>
          </w:tcPr>
          <w:p w:rsidR="00602C93" w:rsidRPr="00281CCD" w:rsidRDefault="00602C93" w:rsidP="001D7D91">
            <w:pPr>
              <w:jc w:val="center"/>
              <w:rPr>
                <w:rFonts w:ascii="Times New Roman" w:hAnsi="Times New Roman" w:cs="Times New Roman"/>
                <w:color w:val="FF0000"/>
                <w:sz w:val="18"/>
                <w:szCs w:val="18"/>
              </w:rPr>
            </w:pPr>
            <w:r w:rsidRPr="00281CCD">
              <w:rPr>
                <w:rFonts w:ascii="Times New Roman" w:hAnsi="Times New Roman" w:cs="Times New Roman"/>
                <w:color w:val="FF0000"/>
                <w:sz w:val="18"/>
                <w:szCs w:val="18"/>
              </w:rPr>
              <w:t>35,33</w:t>
            </w:r>
          </w:p>
        </w:tc>
      </w:tr>
      <w:tr w:rsidR="00521097" w:rsidRPr="009E5C8F" w:rsidTr="00D55797">
        <w:tc>
          <w:tcPr>
            <w:tcW w:w="455" w:type="dxa"/>
            <w:vAlign w:val="center"/>
          </w:tcPr>
          <w:p w:rsidR="00602C93" w:rsidRPr="009E5C8F" w:rsidRDefault="00602C93" w:rsidP="00B83946">
            <w:pPr>
              <w:spacing w:before="60" w:after="60"/>
              <w:jc w:val="center"/>
              <w:rPr>
                <w:rFonts w:ascii="Times New Roman" w:hAnsi="Times New Roman" w:cs="Times New Roman"/>
                <w:sz w:val="16"/>
                <w:szCs w:val="16"/>
              </w:rPr>
            </w:pPr>
            <w:r w:rsidRPr="009E5C8F">
              <w:rPr>
                <w:rFonts w:ascii="Times New Roman" w:hAnsi="Times New Roman" w:cs="Times New Roman"/>
                <w:sz w:val="16"/>
                <w:szCs w:val="16"/>
              </w:rPr>
              <w:t>2</w:t>
            </w:r>
          </w:p>
        </w:tc>
        <w:tc>
          <w:tcPr>
            <w:tcW w:w="8222" w:type="dxa"/>
          </w:tcPr>
          <w:p w:rsidR="00602C93" w:rsidRPr="009E5C8F" w:rsidRDefault="00602C93" w:rsidP="00602C93">
            <w:pPr>
              <w:spacing w:before="60" w:after="60"/>
              <w:jc w:val="both"/>
              <w:rPr>
                <w:rFonts w:ascii="Times New Roman" w:hAnsi="Times New Roman" w:cs="Times New Roman"/>
                <w:sz w:val="16"/>
                <w:szCs w:val="16"/>
              </w:rPr>
            </w:pPr>
            <w:r w:rsidRPr="009E5C8F">
              <w:rPr>
                <w:rFonts w:ascii="Times New Roman" w:hAnsi="Times New Roman" w:cs="Times New Roman"/>
                <w:sz w:val="16"/>
                <w:szCs w:val="16"/>
              </w:rPr>
              <w:t>Senato ve Üniversite Yönetim Kurulu kararlarının şeffaflık ve hesap verilebilirliğinden</w:t>
            </w:r>
          </w:p>
        </w:tc>
        <w:tc>
          <w:tcPr>
            <w:tcW w:w="850" w:type="dxa"/>
            <w:shd w:val="clear" w:color="auto" w:fill="E7F9FF"/>
            <w:vAlign w:val="center"/>
          </w:tcPr>
          <w:p w:rsidR="00602C93" w:rsidRPr="00A5086E" w:rsidRDefault="00602C93" w:rsidP="001D7D91">
            <w:pPr>
              <w:jc w:val="center"/>
              <w:rPr>
                <w:rFonts w:ascii="Times New Roman" w:hAnsi="Times New Roman" w:cs="Times New Roman"/>
                <w:b/>
                <w:color w:val="00B050"/>
                <w:sz w:val="20"/>
                <w:szCs w:val="20"/>
              </w:rPr>
            </w:pPr>
            <w:r w:rsidRPr="00A5086E">
              <w:rPr>
                <w:rFonts w:ascii="Times New Roman" w:hAnsi="Times New Roman" w:cs="Times New Roman"/>
                <w:b/>
                <w:color w:val="00B050"/>
                <w:sz w:val="20"/>
                <w:szCs w:val="20"/>
              </w:rPr>
              <w:t>46,11</w:t>
            </w:r>
          </w:p>
        </w:tc>
        <w:tc>
          <w:tcPr>
            <w:tcW w:w="709" w:type="dxa"/>
            <w:vAlign w:val="center"/>
          </w:tcPr>
          <w:p w:rsidR="00602C93" w:rsidRPr="00C371C8" w:rsidRDefault="00602C93" w:rsidP="001D7D91">
            <w:pPr>
              <w:jc w:val="center"/>
              <w:rPr>
                <w:rFonts w:ascii="Times New Roman" w:hAnsi="Times New Roman" w:cs="Times New Roman"/>
                <w:sz w:val="18"/>
                <w:szCs w:val="18"/>
              </w:rPr>
            </w:pPr>
            <w:r w:rsidRPr="00C371C8">
              <w:rPr>
                <w:rFonts w:ascii="Times New Roman" w:hAnsi="Times New Roman" w:cs="Times New Roman"/>
                <w:sz w:val="18"/>
                <w:szCs w:val="18"/>
              </w:rPr>
              <w:t>31,14</w:t>
            </w:r>
          </w:p>
        </w:tc>
        <w:tc>
          <w:tcPr>
            <w:tcW w:w="1134" w:type="dxa"/>
            <w:shd w:val="clear" w:color="auto" w:fill="FCEEE4"/>
            <w:vAlign w:val="center"/>
          </w:tcPr>
          <w:p w:rsidR="00602C93" w:rsidRPr="00281CCD" w:rsidRDefault="00602C93" w:rsidP="001D7D91">
            <w:pPr>
              <w:jc w:val="center"/>
              <w:rPr>
                <w:rFonts w:ascii="Times New Roman" w:hAnsi="Times New Roman" w:cs="Times New Roman"/>
                <w:color w:val="FF0000"/>
                <w:sz w:val="18"/>
                <w:szCs w:val="18"/>
              </w:rPr>
            </w:pPr>
            <w:r w:rsidRPr="00281CCD">
              <w:rPr>
                <w:rFonts w:ascii="Times New Roman" w:hAnsi="Times New Roman" w:cs="Times New Roman"/>
                <w:color w:val="FF0000"/>
                <w:sz w:val="18"/>
                <w:szCs w:val="18"/>
              </w:rPr>
              <w:t>22,75</w:t>
            </w:r>
          </w:p>
        </w:tc>
      </w:tr>
      <w:tr w:rsidR="00521097" w:rsidRPr="009E5C8F" w:rsidTr="00D55797">
        <w:tc>
          <w:tcPr>
            <w:tcW w:w="455" w:type="dxa"/>
            <w:vAlign w:val="center"/>
          </w:tcPr>
          <w:p w:rsidR="00602C93" w:rsidRPr="009E5C8F" w:rsidRDefault="00602C93" w:rsidP="00B83946">
            <w:pPr>
              <w:spacing w:before="60" w:after="60"/>
              <w:jc w:val="center"/>
              <w:rPr>
                <w:rFonts w:ascii="Times New Roman" w:hAnsi="Times New Roman" w:cs="Times New Roman"/>
                <w:sz w:val="16"/>
                <w:szCs w:val="16"/>
              </w:rPr>
            </w:pPr>
            <w:r w:rsidRPr="009E5C8F">
              <w:rPr>
                <w:rFonts w:ascii="Times New Roman" w:hAnsi="Times New Roman" w:cs="Times New Roman"/>
                <w:sz w:val="16"/>
                <w:szCs w:val="16"/>
              </w:rPr>
              <w:t>3</w:t>
            </w:r>
          </w:p>
        </w:tc>
        <w:tc>
          <w:tcPr>
            <w:tcW w:w="8222" w:type="dxa"/>
          </w:tcPr>
          <w:p w:rsidR="00602C93" w:rsidRPr="009E5C8F" w:rsidRDefault="00602C93" w:rsidP="00602C93">
            <w:pPr>
              <w:spacing w:before="60" w:after="60"/>
              <w:jc w:val="both"/>
              <w:rPr>
                <w:rFonts w:ascii="Times New Roman" w:hAnsi="Times New Roman" w:cs="Times New Roman"/>
                <w:sz w:val="16"/>
                <w:szCs w:val="16"/>
              </w:rPr>
            </w:pPr>
            <w:r w:rsidRPr="009E5C8F">
              <w:rPr>
                <w:rFonts w:ascii="Times New Roman" w:hAnsi="Times New Roman" w:cs="Times New Roman"/>
                <w:sz w:val="16"/>
                <w:szCs w:val="16"/>
              </w:rPr>
              <w:t>Birim Kurul (Yönetim K, Fakülte K, Bölüm K. …) kararlarının şeffaflık ve hesap verilebilirliğinden</w:t>
            </w:r>
          </w:p>
        </w:tc>
        <w:tc>
          <w:tcPr>
            <w:tcW w:w="850" w:type="dxa"/>
            <w:shd w:val="clear" w:color="auto" w:fill="E7F9FF"/>
            <w:vAlign w:val="center"/>
          </w:tcPr>
          <w:p w:rsidR="00602C93" w:rsidRPr="002747D5" w:rsidRDefault="00602C93" w:rsidP="001D7D91">
            <w:pPr>
              <w:jc w:val="center"/>
              <w:rPr>
                <w:rFonts w:ascii="Times New Roman" w:hAnsi="Times New Roman" w:cs="Times New Roman"/>
                <w:b/>
                <w:color w:val="00B050"/>
                <w:sz w:val="20"/>
                <w:szCs w:val="20"/>
              </w:rPr>
            </w:pPr>
            <w:r w:rsidRPr="002747D5">
              <w:rPr>
                <w:rFonts w:ascii="Times New Roman" w:hAnsi="Times New Roman" w:cs="Times New Roman"/>
                <w:b/>
                <w:color w:val="00B050"/>
                <w:sz w:val="20"/>
                <w:szCs w:val="20"/>
              </w:rPr>
              <w:t>51,50</w:t>
            </w:r>
          </w:p>
        </w:tc>
        <w:tc>
          <w:tcPr>
            <w:tcW w:w="709" w:type="dxa"/>
            <w:vAlign w:val="center"/>
          </w:tcPr>
          <w:p w:rsidR="00602C93" w:rsidRPr="00C371C8" w:rsidRDefault="00602C93" w:rsidP="001D7D91">
            <w:pPr>
              <w:jc w:val="center"/>
              <w:rPr>
                <w:rFonts w:ascii="Times New Roman" w:hAnsi="Times New Roman" w:cs="Times New Roman"/>
                <w:sz w:val="18"/>
                <w:szCs w:val="18"/>
              </w:rPr>
            </w:pPr>
            <w:r w:rsidRPr="00C371C8">
              <w:rPr>
                <w:rFonts w:ascii="Times New Roman" w:hAnsi="Times New Roman" w:cs="Times New Roman"/>
                <w:sz w:val="18"/>
                <w:szCs w:val="18"/>
              </w:rPr>
              <w:t>27,55</w:t>
            </w:r>
          </w:p>
        </w:tc>
        <w:tc>
          <w:tcPr>
            <w:tcW w:w="1134" w:type="dxa"/>
            <w:shd w:val="clear" w:color="auto" w:fill="FCEEE4"/>
            <w:vAlign w:val="center"/>
          </w:tcPr>
          <w:p w:rsidR="00602C93" w:rsidRPr="00281CCD" w:rsidRDefault="00602C93" w:rsidP="001D7D91">
            <w:pPr>
              <w:jc w:val="center"/>
              <w:rPr>
                <w:rFonts w:ascii="Times New Roman" w:hAnsi="Times New Roman" w:cs="Times New Roman"/>
                <w:color w:val="FF0000"/>
                <w:sz w:val="18"/>
                <w:szCs w:val="18"/>
              </w:rPr>
            </w:pPr>
            <w:r w:rsidRPr="00281CCD">
              <w:rPr>
                <w:rFonts w:ascii="Times New Roman" w:hAnsi="Times New Roman" w:cs="Times New Roman"/>
                <w:color w:val="FF0000"/>
                <w:sz w:val="18"/>
                <w:szCs w:val="18"/>
              </w:rPr>
              <w:t>20,95</w:t>
            </w:r>
          </w:p>
        </w:tc>
      </w:tr>
      <w:tr w:rsidR="00521097" w:rsidRPr="009E5C8F" w:rsidTr="00D55797">
        <w:tc>
          <w:tcPr>
            <w:tcW w:w="455" w:type="dxa"/>
            <w:vAlign w:val="center"/>
          </w:tcPr>
          <w:p w:rsidR="00602C93" w:rsidRPr="009E5C8F" w:rsidRDefault="00602C93" w:rsidP="00B83946">
            <w:pPr>
              <w:spacing w:before="60" w:after="60"/>
              <w:jc w:val="center"/>
              <w:rPr>
                <w:rFonts w:ascii="Times New Roman" w:hAnsi="Times New Roman" w:cs="Times New Roman"/>
                <w:sz w:val="16"/>
                <w:szCs w:val="16"/>
              </w:rPr>
            </w:pPr>
            <w:r w:rsidRPr="009E5C8F">
              <w:rPr>
                <w:rFonts w:ascii="Times New Roman" w:hAnsi="Times New Roman" w:cs="Times New Roman"/>
                <w:sz w:val="16"/>
                <w:szCs w:val="16"/>
              </w:rPr>
              <w:t>4</w:t>
            </w:r>
          </w:p>
        </w:tc>
        <w:tc>
          <w:tcPr>
            <w:tcW w:w="8222" w:type="dxa"/>
          </w:tcPr>
          <w:p w:rsidR="00602C93" w:rsidRPr="009E5C8F" w:rsidRDefault="00602C93" w:rsidP="00602C93">
            <w:pPr>
              <w:spacing w:before="60" w:after="60"/>
              <w:jc w:val="both"/>
              <w:rPr>
                <w:rFonts w:ascii="Times New Roman" w:hAnsi="Times New Roman" w:cs="Times New Roman"/>
                <w:sz w:val="16"/>
                <w:szCs w:val="16"/>
              </w:rPr>
            </w:pPr>
            <w:r w:rsidRPr="009E5C8F">
              <w:rPr>
                <w:rFonts w:ascii="Times New Roman" w:hAnsi="Times New Roman" w:cs="Times New Roman"/>
                <w:sz w:val="16"/>
                <w:szCs w:val="16"/>
              </w:rPr>
              <w:t>Yönetsel kararlara katılım ve idari uygulamalardaki adillikten</w:t>
            </w:r>
          </w:p>
        </w:tc>
        <w:tc>
          <w:tcPr>
            <w:tcW w:w="850" w:type="dxa"/>
            <w:shd w:val="clear" w:color="auto" w:fill="E7F9FF"/>
            <w:vAlign w:val="center"/>
          </w:tcPr>
          <w:p w:rsidR="00602C93" w:rsidRPr="00281CCD" w:rsidRDefault="00602C93" w:rsidP="001D7D91">
            <w:pPr>
              <w:jc w:val="center"/>
              <w:rPr>
                <w:rFonts w:ascii="Times New Roman" w:hAnsi="Times New Roman" w:cs="Times New Roman"/>
                <w:color w:val="00B050"/>
                <w:sz w:val="18"/>
                <w:szCs w:val="18"/>
              </w:rPr>
            </w:pPr>
            <w:r w:rsidRPr="00281CCD">
              <w:rPr>
                <w:rFonts w:ascii="Times New Roman" w:hAnsi="Times New Roman" w:cs="Times New Roman"/>
                <w:color w:val="00B050"/>
                <w:sz w:val="18"/>
                <w:szCs w:val="18"/>
              </w:rPr>
              <w:t>35,93</w:t>
            </w:r>
          </w:p>
        </w:tc>
        <w:tc>
          <w:tcPr>
            <w:tcW w:w="709" w:type="dxa"/>
            <w:vAlign w:val="center"/>
          </w:tcPr>
          <w:p w:rsidR="00602C93" w:rsidRPr="00C371C8" w:rsidRDefault="00602C93" w:rsidP="001D7D91">
            <w:pPr>
              <w:jc w:val="center"/>
              <w:rPr>
                <w:rFonts w:ascii="Times New Roman" w:hAnsi="Times New Roman" w:cs="Times New Roman"/>
                <w:sz w:val="18"/>
                <w:szCs w:val="18"/>
              </w:rPr>
            </w:pPr>
            <w:r w:rsidRPr="00C371C8">
              <w:rPr>
                <w:rFonts w:ascii="Times New Roman" w:hAnsi="Times New Roman" w:cs="Times New Roman"/>
                <w:sz w:val="18"/>
                <w:szCs w:val="18"/>
              </w:rPr>
              <w:t>20,36</w:t>
            </w:r>
          </w:p>
        </w:tc>
        <w:tc>
          <w:tcPr>
            <w:tcW w:w="1134" w:type="dxa"/>
            <w:shd w:val="clear" w:color="auto" w:fill="FCEEE4"/>
            <w:vAlign w:val="center"/>
          </w:tcPr>
          <w:p w:rsidR="00602C93" w:rsidRPr="008B69A6" w:rsidRDefault="00602C93" w:rsidP="001D7D91">
            <w:pPr>
              <w:jc w:val="center"/>
              <w:rPr>
                <w:rFonts w:ascii="Times New Roman" w:hAnsi="Times New Roman" w:cs="Times New Roman"/>
                <w:b/>
                <w:color w:val="FF0000"/>
                <w:sz w:val="20"/>
                <w:szCs w:val="20"/>
              </w:rPr>
            </w:pPr>
            <w:r w:rsidRPr="008B69A6">
              <w:rPr>
                <w:rFonts w:ascii="Times New Roman" w:hAnsi="Times New Roman" w:cs="Times New Roman"/>
                <w:b/>
                <w:color w:val="FF0000"/>
                <w:sz w:val="20"/>
                <w:szCs w:val="20"/>
              </w:rPr>
              <w:t>43,71</w:t>
            </w:r>
          </w:p>
        </w:tc>
      </w:tr>
      <w:tr w:rsidR="00521097" w:rsidRPr="009E5C8F" w:rsidTr="00D55797">
        <w:tc>
          <w:tcPr>
            <w:tcW w:w="455" w:type="dxa"/>
            <w:vAlign w:val="center"/>
          </w:tcPr>
          <w:p w:rsidR="00602C93" w:rsidRPr="009E5C8F" w:rsidRDefault="00602C93" w:rsidP="00B83946">
            <w:pPr>
              <w:spacing w:before="60" w:after="60"/>
              <w:jc w:val="center"/>
              <w:rPr>
                <w:rFonts w:ascii="Times New Roman" w:hAnsi="Times New Roman" w:cs="Times New Roman"/>
                <w:sz w:val="16"/>
                <w:szCs w:val="16"/>
              </w:rPr>
            </w:pPr>
            <w:r w:rsidRPr="009E5C8F">
              <w:rPr>
                <w:rFonts w:ascii="Times New Roman" w:hAnsi="Times New Roman" w:cs="Times New Roman"/>
                <w:sz w:val="16"/>
                <w:szCs w:val="16"/>
              </w:rPr>
              <w:t>5</w:t>
            </w:r>
          </w:p>
        </w:tc>
        <w:tc>
          <w:tcPr>
            <w:tcW w:w="8222" w:type="dxa"/>
          </w:tcPr>
          <w:p w:rsidR="00602C93" w:rsidRPr="009E5C8F" w:rsidRDefault="00602C93" w:rsidP="00602C93">
            <w:pPr>
              <w:spacing w:before="60" w:after="60"/>
              <w:jc w:val="both"/>
              <w:rPr>
                <w:rFonts w:ascii="Times New Roman" w:hAnsi="Times New Roman" w:cs="Times New Roman"/>
                <w:sz w:val="16"/>
                <w:szCs w:val="16"/>
              </w:rPr>
            </w:pPr>
            <w:r w:rsidRPr="009E5C8F">
              <w:rPr>
                <w:rFonts w:ascii="Times New Roman" w:hAnsi="Times New Roman" w:cs="Times New Roman"/>
                <w:sz w:val="16"/>
                <w:szCs w:val="16"/>
              </w:rPr>
              <w:t>Görev, yetki ve sorumluluk dağılımdaki adaletten</w:t>
            </w:r>
          </w:p>
        </w:tc>
        <w:tc>
          <w:tcPr>
            <w:tcW w:w="850" w:type="dxa"/>
            <w:shd w:val="clear" w:color="auto" w:fill="E7F9FF"/>
            <w:vAlign w:val="center"/>
          </w:tcPr>
          <w:p w:rsidR="00602C93" w:rsidRPr="00281CCD" w:rsidRDefault="00602C93" w:rsidP="001D7D91">
            <w:pPr>
              <w:jc w:val="center"/>
              <w:rPr>
                <w:rFonts w:ascii="Times New Roman" w:hAnsi="Times New Roman" w:cs="Times New Roman"/>
                <w:color w:val="00B050"/>
                <w:sz w:val="18"/>
                <w:szCs w:val="18"/>
              </w:rPr>
            </w:pPr>
            <w:r w:rsidRPr="00281CCD">
              <w:rPr>
                <w:rFonts w:ascii="Times New Roman" w:hAnsi="Times New Roman" w:cs="Times New Roman"/>
                <w:color w:val="00B050"/>
                <w:sz w:val="18"/>
                <w:szCs w:val="18"/>
              </w:rPr>
              <w:t>35,93</w:t>
            </w:r>
          </w:p>
        </w:tc>
        <w:tc>
          <w:tcPr>
            <w:tcW w:w="709" w:type="dxa"/>
            <w:vAlign w:val="center"/>
          </w:tcPr>
          <w:p w:rsidR="00602C93" w:rsidRPr="00C371C8" w:rsidRDefault="00602C93" w:rsidP="001D7D91">
            <w:pPr>
              <w:jc w:val="center"/>
              <w:rPr>
                <w:rFonts w:ascii="Times New Roman" w:hAnsi="Times New Roman" w:cs="Times New Roman"/>
                <w:sz w:val="18"/>
                <w:szCs w:val="18"/>
              </w:rPr>
            </w:pPr>
            <w:r w:rsidRPr="00C371C8">
              <w:rPr>
                <w:rFonts w:ascii="Times New Roman" w:hAnsi="Times New Roman" w:cs="Times New Roman"/>
                <w:sz w:val="18"/>
                <w:szCs w:val="18"/>
              </w:rPr>
              <w:t>17,37</w:t>
            </w:r>
          </w:p>
        </w:tc>
        <w:tc>
          <w:tcPr>
            <w:tcW w:w="1134" w:type="dxa"/>
            <w:shd w:val="clear" w:color="auto" w:fill="FCEEE4"/>
            <w:vAlign w:val="center"/>
          </w:tcPr>
          <w:p w:rsidR="00602C93" w:rsidRPr="008B69A6" w:rsidRDefault="00602C93" w:rsidP="001D7D91">
            <w:pPr>
              <w:jc w:val="center"/>
              <w:rPr>
                <w:rFonts w:ascii="Times New Roman" w:hAnsi="Times New Roman" w:cs="Times New Roman"/>
                <w:b/>
                <w:color w:val="FF0000"/>
                <w:sz w:val="20"/>
                <w:szCs w:val="20"/>
              </w:rPr>
            </w:pPr>
            <w:r w:rsidRPr="008B69A6">
              <w:rPr>
                <w:rFonts w:ascii="Times New Roman" w:hAnsi="Times New Roman" w:cs="Times New Roman"/>
                <w:b/>
                <w:color w:val="FF0000"/>
                <w:sz w:val="20"/>
                <w:szCs w:val="20"/>
              </w:rPr>
              <w:t>46,70</w:t>
            </w:r>
          </w:p>
        </w:tc>
      </w:tr>
      <w:tr w:rsidR="00521097" w:rsidRPr="009E5C8F" w:rsidTr="00D55797">
        <w:tc>
          <w:tcPr>
            <w:tcW w:w="455" w:type="dxa"/>
            <w:vAlign w:val="center"/>
          </w:tcPr>
          <w:p w:rsidR="00602C93" w:rsidRPr="009E5C8F" w:rsidRDefault="00602C93" w:rsidP="00B83946">
            <w:pPr>
              <w:spacing w:before="60" w:after="60"/>
              <w:jc w:val="center"/>
              <w:rPr>
                <w:rFonts w:ascii="Times New Roman" w:hAnsi="Times New Roman" w:cs="Times New Roman"/>
                <w:sz w:val="16"/>
                <w:szCs w:val="16"/>
              </w:rPr>
            </w:pPr>
            <w:r w:rsidRPr="009E5C8F">
              <w:rPr>
                <w:rFonts w:ascii="Times New Roman" w:hAnsi="Times New Roman" w:cs="Times New Roman"/>
                <w:sz w:val="16"/>
                <w:szCs w:val="16"/>
              </w:rPr>
              <w:t>6</w:t>
            </w:r>
          </w:p>
        </w:tc>
        <w:tc>
          <w:tcPr>
            <w:tcW w:w="8222" w:type="dxa"/>
          </w:tcPr>
          <w:p w:rsidR="00602C93" w:rsidRPr="009E5C8F" w:rsidRDefault="00602C93" w:rsidP="00602C93">
            <w:pPr>
              <w:spacing w:before="60" w:after="60"/>
              <w:jc w:val="both"/>
              <w:rPr>
                <w:rFonts w:ascii="Times New Roman" w:hAnsi="Times New Roman" w:cs="Times New Roman"/>
                <w:sz w:val="16"/>
                <w:szCs w:val="16"/>
              </w:rPr>
            </w:pPr>
            <w:proofErr w:type="spellStart"/>
            <w:r w:rsidRPr="009E5C8F">
              <w:rPr>
                <w:rFonts w:ascii="Times New Roman" w:hAnsi="Times New Roman" w:cs="Times New Roman"/>
                <w:sz w:val="16"/>
                <w:szCs w:val="16"/>
              </w:rPr>
              <w:t>Ünvan</w:t>
            </w:r>
            <w:proofErr w:type="spellEnd"/>
            <w:r w:rsidRPr="009E5C8F">
              <w:rPr>
                <w:rFonts w:ascii="Times New Roman" w:hAnsi="Times New Roman" w:cs="Times New Roman"/>
                <w:sz w:val="16"/>
                <w:szCs w:val="16"/>
              </w:rPr>
              <w:t xml:space="preserve"> ve kadro uyumundan (uzmanlık alanı ile görev yapılan birim arasındaki uygunluk)</w:t>
            </w:r>
          </w:p>
        </w:tc>
        <w:tc>
          <w:tcPr>
            <w:tcW w:w="850" w:type="dxa"/>
            <w:shd w:val="clear" w:color="auto" w:fill="E7F9FF"/>
            <w:vAlign w:val="center"/>
          </w:tcPr>
          <w:p w:rsidR="00602C93" w:rsidRPr="00281CCD" w:rsidRDefault="00602C93" w:rsidP="001D7D91">
            <w:pPr>
              <w:jc w:val="center"/>
              <w:rPr>
                <w:rFonts w:ascii="Times New Roman" w:hAnsi="Times New Roman" w:cs="Times New Roman"/>
                <w:color w:val="00B050"/>
                <w:sz w:val="18"/>
                <w:szCs w:val="18"/>
              </w:rPr>
            </w:pPr>
            <w:r w:rsidRPr="00281CCD">
              <w:rPr>
                <w:rFonts w:ascii="Times New Roman" w:hAnsi="Times New Roman" w:cs="Times New Roman"/>
                <w:color w:val="00B050"/>
                <w:sz w:val="18"/>
                <w:szCs w:val="18"/>
              </w:rPr>
              <w:t>37,73</w:t>
            </w:r>
          </w:p>
        </w:tc>
        <w:tc>
          <w:tcPr>
            <w:tcW w:w="709" w:type="dxa"/>
            <w:vAlign w:val="center"/>
          </w:tcPr>
          <w:p w:rsidR="00602C93" w:rsidRPr="00C371C8" w:rsidRDefault="00602C93" w:rsidP="001D7D91">
            <w:pPr>
              <w:jc w:val="center"/>
              <w:rPr>
                <w:rFonts w:ascii="Times New Roman" w:hAnsi="Times New Roman" w:cs="Times New Roman"/>
                <w:sz w:val="18"/>
                <w:szCs w:val="18"/>
              </w:rPr>
            </w:pPr>
            <w:r w:rsidRPr="00C371C8">
              <w:rPr>
                <w:rFonts w:ascii="Times New Roman" w:hAnsi="Times New Roman" w:cs="Times New Roman"/>
                <w:sz w:val="18"/>
                <w:szCs w:val="18"/>
              </w:rPr>
              <w:t>26,35</w:t>
            </w:r>
          </w:p>
        </w:tc>
        <w:tc>
          <w:tcPr>
            <w:tcW w:w="1134" w:type="dxa"/>
            <w:shd w:val="clear" w:color="auto" w:fill="FCEEE4"/>
            <w:vAlign w:val="center"/>
          </w:tcPr>
          <w:p w:rsidR="00602C93" w:rsidRPr="00281CCD" w:rsidRDefault="00602C93" w:rsidP="001D7D91">
            <w:pPr>
              <w:jc w:val="center"/>
              <w:rPr>
                <w:rFonts w:ascii="Times New Roman" w:hAnsi="Times New Roman" w:cs="Times New Roman"/>
                <w:color w:val="FF0000"/>
                <w:sz w:val="18"/>
                <w:szCs w:val="18"/>
              </w:rPr>
            </w:pPr>
            <w:r w:rsidRPr="00281CCD">
              <w:rPr>
                <w:rFonts w:ascii="Times New Roman" w:hAnsi="Times New Roman" w:cs="Times New Roman"/>
                <w:color w:val="FF0000"/>
                <w:sz w:val="18"/>
                <w:szCs w:val="18"/>
              </w:rPr>
              <w:t>35,92</w:t>
            </w:r>
          </w:p>
        </w:tc>
      </w:tr>
      <w:tr w:rsidR="00521097" w:rsidRPr="009E5C8F" w:rsidTr="00D55797">
        <w:tc>
          <w:tcPr>
            <w:tcW w:w="455" w:type="dxa"/>
            <w:vAlign w:val="center"/>
          </w:tcPr>
          <w:p w:rsidR="00602C93" w:rsidRPr="009E5C8F" w:rsidRDefault="00602C93" w:rsidP="00B83946">
            <w:pPr>
              <w:spacing w:before="60" w:after="60"/>
              <w:jc w:val="center"/>
              <w:rPr>
                <w:rFonts w:ascii="Times New Roman" w:hAnsi="Times New Roman" w:cs="Times New Roman"/>
                <w:sz w:val="16"/>
                <w:szCs w:val="16"/>
              </w:rPr>
            </w:pPr>
            <w:r w:rsidRPr="009E5C8F">
              <w:rPr>
                <w:rFonts w:ascii="Times New Roman" w:hAnsi="Times New Roman" w:cs="Times New Roman"/>
                <w:sz w:val="16"/>
                <w:szCs w:val="16"/>
              </w:rPr>
              <w:t>7</w:t>
            </w:r>
          </w:p>
        </w:tc>
        <w:tc>
          <w:tcPr>
            <w:tcW w:w="8222" w:type="dxa"/>
          </w:tcPr>
          <w:p w:rsidR="00602C93" w:rsidRPr="009E5C8F" w:rsidRDefault="00602C93" w:rsidP="00602C93">
            <w:pPr>
              <w:spacing w:before="60" w:after="60"/>
              <w:jc w:val="both"/>
              <w:rPr>
                <w:rFonts w:ascii="Times New Roman" w:hAnsi="Times New Roman" w:cs="Times New Roman"/>
                <w:sz w:val="16"/>
                <w:szCs w:val="16"/>
              </w:rPr>
            </w:pPr>
            <w:r w:rsidRPr="009E5C8F">
              <w:rPr>
                <w:rFonts w:ascii="Times New Roman" w:hAnsi="Times New Roman" w:cs="Times New Roman"/>
                <w:sz w:val="16"/>
                <w:szCs w:val="16"/>
              </w:rPr>
              <w:t>İdari kadrolara atanmada mesleki yeterliliğin göz önünde bulundurulmasından</w:t>
            </w:r>
          </w:p>
        </w:tc>
        <w:tc>
          <w:tcPr>
            <w:tcW w:w="850" w:type="dxa"/>
            <w:shd w:val="clear" w:color="auto" w:fill="E7F9FF"/>
            <w:vAlign w:val="center"/>
          </w:tcPr>
          <w:p w:rsidR="00602C93" w:rsidRPr="00281CCD" w:rsidRDefault="00602C93" w:rsidP="001D7D91">
            <w:pPr>
              <w:jc w:val="center"/>
              <w:rPr>
                <w:rFonts w:ascii="Times New Roman" w:hAnsi="Times New Roman" w:cs="Times New Roman"/>
                <w:color w:val="00B050"/>
                <w:sz w:val="18"/>
                <w:szCs w:val="18"/>
              </w:rPr>
            </w:pPr>
            <w:r w:rsidRPr="00281CCD">
              <w:rPr>
                <w:rFonts w:ascii="Times New Roman" w:hAnsi="Times New Roman" w:cs="Times New Roman"/>
                <w:color w:val="00B050"/>
                <w:sz w:val="18"/>
                <w:szCs w:val="18"/>
              </w:rPr>
              <w:t>31,14</w:t>
            </w:r>
          </w:p>
        </w:tc>
        <w:tc>
          <w:tcPr>
            <w:tcW w:w="709" w:type="dxa"/>
            <w:vAlign w:val="center"/>
          </w:tcPr>
          <w:p w:rsidR="00602C93" w:rsidRPr="00C371C8" w:rsidRDefault="00602C93" w:rsidP="001D7D91">
            <w:pPr>
              <w:jc w:val="center"/>
              <w:rPr>
                <w:rFonts w:ascii="Times New Roman" w:hAnsi="Times New Roman" w:cs="Times New Roman"/>
                <w:sz w:val="18"/>
                <w:szCs w:val="18"/>
              </w:rPr>
            </w:pPr>
            <w:r w:rsidRPr="00C371C8">
              <w:rPr>
                <w:rFonts w:ascii="Times New Roman" w:hAnsi="Times New Roman" w:cs="Times New Roman"/>
                <w:sz w:val="18"/>
                <w:szCs w:val="18"/>
              </w:rPr>
              <w:t>17,96</w:t>
            </w:r>
          </w:p>
        </w:tc>
        <w:tc>
          <w:tcPr>
            <w:tcW w:w="1134" w:type="dxa"/>
            <w:shd w:val="clear" w:color="auto" w:fill="FCEEE4"/>
            <w:vAlign w:val="center"/>
          </w:tcPr>
          <w:p w:rsidR="00602C93" w:rsidRPr="002747D5" w:rsidRDefault="00602C93" w:rsidP="001D7D91">
            <w:pPr>
              <w:jc w:val="center"/>
              <w:rPr>
                <w:rFonts w:ascii="Times New Roman" w:hAnsi="Times New Roman" w:cs="Times New Roman"/>
                <w:b/>
                <w:color w:val="FF0000"/>
                <w:sz w:val="20"/>
                <w:szCs w:val="20"/>
              </w:rPr>
            </w:pPr>
            <w:r w:rsidRPr="002747D5">
              <w:rPr>
                <w:rFonts w:ascii="Times New Roman" w:hAnsi="Times New Roman" w:cs="Times New Roman"/>
                <w:b/>
                <w:color w:val="FF0000"/>
                <w:sz w:val="20"/>
                <w:szCs w:val="20"/>
              </w:rPr>
              <w:t>50,90</w:t>
            </w:r>
          </w:p>
        </w:tc>
      </w:tr>
      <w:tr w:rsidR="007E19A8" w:rsidRPr="009E5C8F" w:rsidTr="00D55797">
        <w:trPr>
          <w:trHeight w:val="303"/>
        </w:trPr>
        <w:tc>
          <w:tcPr>
            <w:tcW w:w="455" w:type="dxa"/>
            <w:shd w:val="clear" w:color="auto" w:fill="FBE4D5" w:themeFill="accent2" w:themeFillTint="33"/>
            <w:vAlign w:val="center"/>
          </w:tcPr>
          <w:p w:rsidR="00602C93" w:rsidRPr="001A0B6E" w:rsidRDefault="00602C93" w:rsidP="00B83946">
            <w:pPr>
              <w:spacing w:before="60" w:after="60"/>
              <w:jc w:val="center"/>
              <w:rPr>
                <w:rFonts w:ascii="Times New Roman" w:hAnsi="Times New Roman" w:cs="Times New Roman"/>
                <w:b/>
                <w:color w:val="FF0000"/>
              </w:rPr>
            </w:pPr>
            <w:r w:rsidRPr="001A0B6E">
              <w:rPr>
                <w:rFonts w:ascii="Times New Roman" w:hAnsi="Times New Roman" w:cs="Times New Roman"/>
                <w:b/>
                <w:color w:val="FF0000"/>
              </w:rPr>
              <w:t>8</w:t>
            </w:r>
          </w:p>
        </w:tc>
        <w:tc>
          <w:tcPr>
            <w:tcW w:w="8222" w:type="dxa"/>
            <w:shd w:val="clear" w:color="auto" w:fill="FBE4D5" w:themeFill="accent2" w:themeFillTint="33"/>
          </w:tcPr>
          <w:p w:rsidR="00602C93" w:rsidRPr="001A0B6E" w:rsidRDefault="00602C93" w:rsidP="00602C93">
            <w:pPr>
              <w:spacing w:before="60" w:after="60"/>
              <w:jc w:val="both"/>
              <w:rPr>
                <w:rFonts w:ascii="Times New Roman" w:hAnsi="Times New Roman" w:cs="Times New Roman"/>
                <w:b/>
                <w:color w:val="FF0000"/>
              </w:rPr>
            </w:pPr>
            <w:r w:rsidRPr="001A0B6E">
              <w:rPr>
                <w:rFonts w:ascii="Times New Roman" w:hAnsi="Times New Roman" w:cs="Times New Roman"/>
                <w:b/>
                <w:color w:val="FF0000"/>
              </w:rPr>
              <w:t>İdari görevlere seçilme ve yükseltme ölçütlerinden</w:t>
            </w:r>
          </w:p>
        </w:tc>
        <w:tc>
          <w:tcPr>
            <w:tcW w:w="850" w:type="dxa"/>
            <w:shd w:val="clear" w:color="auto" w:fill="E7F9FF"/>
            <w:vAlign w:val="center"/>
          </w:tcPr>
          <w:p w:rsidR="00602C93" w:rsidRPr="00A77BB4" w:rsidRDefault="00602C93" w:rsidP="001D7D91">
            <w:pPr>
              <w:jc w:val="center"/>
              <w:rPr>
                <w:rFonts w:ascii="Times New Roman" w:hAnsi="Times New Roman" w:cs="Times New Roman"/>
                <w:color w:val="FF0000"/>
                <w:sz w:val="18"/>
                <w:szCs w:val="18"/>
              </w:rPr>
            </w:pPr>
            <w:r w:rsidRPr="00A77BB4">
              <w:rPr>
                <w:rFonts w:ascii="Times New Roman" w:hAnsi="Times New Roman" w:cs="Times New Roman"/>
                <w:color w:val="00B050"/>
                <w:sz w:val="18"/>
                <w:szCs w:val="18"/>
              </w:rPr>
              <w:t>28,74</w:t>
            </w:r>
          </w:p>
        </w:tc>
        <w:tc>
          <w:tcPr>
            <w:tcW w:w="709" w:type="dxa"/>
            <w:vAlign w:val="center"/>
          </w:tcPr>
          <w:p w:rsidR="00602C93" w:rsidRPr="00A77BB4" w:rsidRDefault="00602C93" w:rsidP="001D7D91">
            <w:pPr>
              <w:jc w:val="center"/>
              <w:rPr>
                <w:rFonts w:ascii="Times New Roman" w:hAnsi="Times New Roman" w:cs="Times New Roman"/>
                <w:color w:val="FF0000"/>
                <w:sz w:val="18"/>
                <w:szCs w:val="18"/>
              </w:rPr>
            </w:pPr>
            <w:r w:rsidRPr="00A77BB4">
              <w:rPr>
                <w:rFonts w:ascii="Times New Roman" w:hAnsi="Times New Roman" w:cs="Times New Roman"/>
                <w:sz w:val="18"/>
                <w:szCs w:val="18"/>
              </w:rPr>
              <w:t>19,17</w:t>
            </w:r>
          </w:p>
        </w:tc>
        <w:tc>
          <w:tcPr>
            <w:tcW w:w="1134" w:type="dxa"/>
            <w:shd w:val="clear" w:color="auto" w:fill="DCC5ED"/>
            <w:vAlign w:val="center"/>
          </w:tcPr>
          <w:p w:rsidR="00602C93" w:rsidRPr="004949EA" w:rsidRDefault="00602C93" w:rsidP="001D7D91">
            <w:pPr>
              <w:jc w:val="center"/>
              <w:rPr>
                <w:rFonts w:ascii="Times New Roman" w:hAnsi="Times New Roman" w:cs="Times New Roman"/>
                <w:b/>
                <w:color w:val="FF0000"/>
                <w:sz w:val="24"/>
                <w:szCs w:val="24"/>
              </w:rPr>
            </w:pPr>
            <w:r w:rsidRPr="004949EA">
              <w:rPr>
                <w:rFonts w:ascii="Times New Roman" w:hAnsi="Times New Roman" w:cs="Times New Roman"/>
                <w:b/>
                <w:color w:val="FF0000"/>
                <w:sz w:val="24"/>
                <w:szCs w:val="24"/>
              </w:rPr>
              <w:t>52,09</w:t>
            </w:r>
          </w:p>
        </w:tc>
      </w:tr>
      <w:tr w:rsidR="00521097" w:rsidRPr="009E5C8F" w:rsidTr="00D55797">
        <w:tc>
          <w:tcPr>
            <w:tcW w:w="455" w:type="dxa"/>
            <w:vAlign w:val="center"/>
          </w:tcPr>
          <w:p w:rsidR="00602C93" w:rsidRPr="009E5C8F" w:rsidRDefault="00602C93" w:rsidP="00B83946">
            <w:pPr>
              <w:spacing w:before="60" w:after="60"/>
              <w:jc w:val="center"/>
              <w:rPr>
                <w:rFonts w:ascii="Times New Roman" w:hAnsi="Times New Roman" w:cs="Times New Roman"/>
                <w:sz w:val="16"/>
                <w:szCs w:val="16"/>
              </w:rPr>
            </w:pPr>
            <w:r w:rsidRPr="009E5C8F">
              <w:rPr>
                <w:rFonts w:ascii="Times New Roman" w:hAnsi="Times New Roman" w:cs="Times New Roman"/>
                <w:sz w:val="16"/>
                <w:szCs w:val="16"/>
              </w:rPr>
              <w:t>9</w:t>
            </w:r>
          </w:p>
        </w:tc>
        <w:tc>
          <w:tcPr>
            <w:tcW w:w="8222" w:type="dxa"/>
          </w:tcPr>
          <w:p w:rsidR="00602C93" w:rsidRPr="009E5C8F" w:rsidRDefault="00602C93" w:rsidP="00602C93">
            <w:pPr>
              <w:spacing w:before="60" w:after="60"/>
              <w:jc w:val="both"/>
              <w:rPr>
                <w:rFonts w:ascii="Times New Roman" w:hAnsi="Times New Roman" w:cs="Times New Roman"/>
                <w:sz w:val="16"/>
                <w:szCs w:val="16"/>
              </w:rPr>
            </w:pPr>
            <w:r w:rsidRPr="009E5C8F">
              <w:rPr>
                <w:rFonts w:ascii="Times New Roman" w:hAnsi="Times New Roman" w:cs="Times New Roman"/>
                <w:sz w:val="16"/>
                <w:szCs w:val="16"/>
              </w:rPr>
              <w:t>Çalışma ortamındaki huzur ve işimi iyi yapabileceğim ortamın sağlanmasından</w:t>
            </w:r>
          </w:p>
        </w:tc>
        <w:tc>
          <w:tcPr>
            <w:tcW w:w="850" w:type="dxa"/>
            <w:shd w:val="clear" w:color="auto" w:fill="E7F9FF"/>
            <w:vAlign w:val="center"/>
          </w:tcPr>
          <w:p w:rsidR="00602C93" w:rsidRPr="009E164C" w:rsidRDefault="00602C93" w:rsidP="001D7D91">
            <w:pPr>
              <w:jc w:val="center"/>
              <w:rPr>
                <w:rFonts w:ascii="Times New Roman" w:hAnsi="Times New Roman" w:cs="Times New Roman"/>
                <w:b/>
                <w:color w:val="00B050"/>
                <w:sz w:val="20"/>
                <w:szCs w:val="20"/>
              </w:rPr>
            </w:pPr>
            <w:r w:rsidRPr="009E164C">
              <w:rPr>
                <w:rFonts w:ascii="Times New Roman" w:hAnsi="Times New Roman" w:cs="Times New Roman"/>
                <w:b/>
                <w:color w:val="00B050"/>
                <w:sz w:val="20"/>
                <w:szCs w:val="20"/>
              </w:rPr>
              <w:t>60,48</w:t>
            </w:r>
          </w:p>
        </w:tc>
        <w:tc>
          <w:tcPr>
            <w:tcW w:w="709" w:type="dxa"/>
            <w:vAlign w:val="center"/>
          </w:tcPr>
          <w:p w:rsidR="00602C93" w:rsidRPr="002747D5" w:rsidRDefault="00602C93" w:rsidP="001D7D91">
            <w:pPr>
              <w:jc w:val="center"/>
              <w:rPr>
                <w:rFonts w:ascii="Times New Roman" w:hAnsi="Times New Roman" w:cs="Times New Roman"/>
                <w:sz w:val="20"/>
                <w:szCs w:val="20"/>
              </w:rPr>
            </w:pPr>
            <w:r w:rsidRPr="002747D5">
              <w:rPr>
                <w:rFonts w:ascii="Times New Roman" w:hAnsi="Times New Roman" w:cs="Times New Roman"/>
                <w:sz w:val="20"/>
                <w:szCs w:val="20"/>
              </w:rPr>
              <w:t>14,97</w:t>
            </w:r>
          </w:p>
        </w:tc>
        <w:tc>
          <w:tcPr>
            <w:tcW w:w="1134" w:type="dxa"/>
            <w:shd w:val="clear" w:color="auto" w:fill="FCEEE4"/>
            <w:vAlign w:val="center"/>
          </w:tcPr>
          <w:p w:rsidR="00602C93" w:rsidRPr="00281CCD" w:rsidRDefault="00602C93" w:rsidP="001D7D91">
            <w:pPr>
              <w:jc w:val="center"/>
              <w:rPr>
                <w:rFonts w:ascii="Times New Roman" w:hAnsi="Times New Roman" w:cs="Times New Roman"/>
                <w:color w:val="FF0000"/>
                <w:sz w:val="18"/>
                <w:szCs w:val="18"/>
              </w:rPr>
            </w:pPr>
            <w:r w:rsidRPr="00281CCD">
              <w:rPr>
                <w:rFonts w:ascii="Times New Roman" w:hAnsi="Times New Roman" w:cs="Times New Roman"/>
                <w:color w:val="FF0000"/>
                <w:sz w:val="18"/>
                <w:szCs w:val="18"/>
              </w:rPr>
              <w:t>24,55</w:t>
            </w:r>
          </w:p>
        </w:tc>
      </w:tr>
      <w:tr w:rsidR="00521097" w:rsidRPr="009E5C8F" w:rsidTr="00D55797">
        <w:tc>
          <w:tcPr>
            <w:tcW w:w="455" w:type="dxa"/>
            <w:vAlign w:val="center"/>
          </w:tcPr>
          <w:p w:rsidR="00602C93" w:rsidRPr="009E5C8F" w:rsidRDefault="00602C93" w:rsidP="00B83946">
            <w:pPr>
              <w:spacing w:before="60" w:after="60"/>
              <w:jc w:val="center"/>
              <w:rPr>
                <w:rFonts w:ascii="Times New Roman" w:hAnsi="Times New Roman" w:cs="Times New Roman"/>
                <w:sz w:val="16"/>
                <w:szCs w:val="16"/>
              </w:rPr>
            </w:pPr>
            <w:r w:rsidRPr="009E5C8F">
              <w:rPr>
                <w:rFonts w:ascii="Times New Roman" w:hAnsi="Times New Roman" w:cs="Times New Roman"/>
                <w:sz w:val="16"/>
                <w:szCs w:val="16"/>
              </w:rPr>
              <w:t>10</w:t>
            </w:r>
          </w:p>
        </w:tc>
        <w:tc>
          <w:tcPr>
            <w:tcW w:w="8222" w:type="dxa"/>
          </w:tcPr>
          <w:p w:rsidR="00602C93" w:rsidRPr="009E5C8F" w:rsidRDefault="00602C93" w:rsidP="00602C93">
            <w:pPr>
              <w:spacing w:before="60" w:after="60"/>
              <w:jc w:val="both"/>
              <w:rPr>
                <w:rFonts w:ascii="Times New Roman" w:hAnsi="Times New Roman" w:cs="Times New Roman"/>
                <w:sz w:val="16"/>
                <w:szCs w:val="16"/>
              </w:rPr>
            </w:pPr>
            <w:r w:rsidRPr="009E5C8F">
              <w:rPr>
                <w:rFonts w:ascii="Times New Roman" w:hAnsi="Times New Roman" w:cs="Times New Roman"/>
                <w:sz w:val="16"/>
                <w:szCs w:val="16"/>
              </w:rPr>
              <w:t>İdari personeline sunulan hizmet içi eğitim olanaklarından</w:t>
            </w:r>
          </w:p>
        </w:tc>
        <w:tc>
          <w:tcPr>
            <w:tcW w:w="850" w:type="dxa"/>
            <w:shd w:val="clear" w:color="auto" w:fill="E7F9FF"/>
            <w:vAlign w:val="center"/>
          </w:tcPr>
          <w:p w:rsidR="00602C93" w:rsidRPr="00DE0F0C" w:rsidRDefault="00602C93" w:rsidP="001D7D91">
            <w:pPr>
              <w:jc w:val="center"/>
              <w:rPr>
                <w:rFonts w:ascii="Times New Roman" w:hAnsi="Times New Roman" w:cs="Times New Roman"/>
                <w:b/>
                <w:color w:val="00B050"/>
                <w:sz w:val="20"/>
                <w:szCs w:val="20"/>
              </w:rPr>
            </w:pPr>
            <w:r w:rsidRPr="00DE0F0C">
              <w:rPr>
                <w:rFonts w:ascii="Times New Roman" w:hAnsi="Times New Roman" w:cs="Times New Roman"/>
                <w:b/>
                <w:color w:val="00B050"/>
                <w:sz w:val="20"/>
                <w:szCs w:val="20"/>
              </w:rPr>
              <w:t>44,31</w:t>
            </w:r>
          </w:p>
        </w:tc>
        <w:tc>
          <w:tcPr>
            <w:tcW w:w="709" w:type="dxa"/>
            <w:vAlign w:val="center"/>
          </w:tcPr>
          <w:p w:rsidR="00602C93" w:rsidRPr="00C371C8" w:rsidRDefault="00602C93" w:rsidP="001D7D91">
            <w:pPr>
              <w:jc w:val="center"/>
              <w:rPr>
                <w:rFonts w:ascii="Times New Roman" w:hAnsi="Times New Roman" w:cs="Times New Roman"/>
                <w:sz w:val="18"/>
                <w:szCs w:val="18"/>
              </w:rPr>
            </w:pPr>
            <w:r w:rsidRPr="00C371C8">
              <w:rPr>
                <w:rFonts w:ascii="Times New Roman" w:hAnsi="Times New Roman" w:cs="Times New Roman"/>
                <w:sz w:val="18"/>
                <w:szCs w:val="18"/>
              </w:rPr>
              <w:t>20,36</w:t>
            </w:r>
          </w:p>
        </w:tc>
        <w:tc>
          <w:tcPr>
            <w:tcW w:w="1134" w:type="dxa"/>
            <w:shd w:val="clear" w:color="auto" w:fill="FCEEE4"/>
            <w:vAlign w:val="center"/>
          </w:tcPr>
          <w:p w:rsidR="00602C93" w:rsidRPr="00281CCD" w:rsidRDefault="00602C93" w:rsidP="001D7D91">
            <w:pPr>
              <w:jc w:val="center"/>
              <w:rPr>
                <w:rFonts w:ascii="Times New Roman" w:hAnsi="Times New Roman" w:cs="Times New Roman"/>
                <w:color w:val="FF0000"/>
                <w:sz w:val="18"/>
                <w:szCs w:val="18"/>
              </w:rPr>
            </w:pPr>
            <w:r w:rsidRPr="00281CCD">
              <w:rPr>
                <w:rFonts w:ascii="Times New Roman" w:hAnsi="Times New Roman" w:cs="Times New Roman"/>
                <w:color w:val="FF0000"/>
                <w:sz w:val="18"/>
                <w:szCs w:val="18"/>
              </w:rPr>
              <w:t>35,33</w:t>
            </w:r>
          </w:p>
        </w:tc>
      </w:tr>
      <w:tr w:rsidR="00521097" w:rsidRPr="009E5C8F" w:rsidTr="00D55797">
        <w:tc>
          <w:tcPr>
            <w:tcW w:w="455" w:type="dxa"/>
            <w:vAlign w:val="center"/>
          </w:tcPr>
          <w:p w:rsidR="00602C93" w:rsidRPr="009E5C8F" w:rsidRDefault="00602C93" w:rsidP="00B83946">
            <w:pPr>
              <w:spacing w:before="60" w:after="60"/>
              <w:jc w:val="center"/>
              <w:rPr>
                <w:rFonts w:ascii="Times New Roman" w:hAnsi="Times New Roman" w:cs="Times New Roman"/>
                <w:sz w:val="16"/>
                <w:szCs w:val="16"/>
              </w:rPr>
            </w:pPr>
            <w:r w:rsidRPr="009E5C8F">
              <w:rPr>
                <w:rFonts w:ascii="Times New Roman" w:hAnsi="Times New Roman" w:cs="Times New Roman"/>
                <w:sz w:val="16"/>
                <w:szCs w:val="16"/>
              </w:rPr>
              <w:t>11</w:t>
            </w:r>
          </w:p>
        </w:tc>
        <w:tc>
          <w:tcPr>
            <w:tcW w:w="8222" w:type="dxa"/>
          </w:tcPr>
          <w:p w:rsidR="00602C93" w:rsidRPr="009E5C8F" w:rsidRDefault="00602C93" w:rsidP="00602C93">
            <w:pPr>
              <w:spacing w:before="60" w:after="60"/>
              <w:jc w:val="both"/>
              <w:rPr>
                <w:rFonts w:ascii="Times New Roman" w:hAnsi="Times New Roman" w:cs="Times New Roman"/>
                <w:sz w:val="16"/>
                <w:szCs w:val="16"/>
              </w:rPr>
            </w:pPr>
            <w:r w:rsidRPr="009E5C8F">
              <w:rPr>
                <w:rFonts w:ascii="Times New Roman" w:hAnsi="Times New Roman" w:cs="Times New Roman"/>
                <w:sz w:val="16"/>
                <w:szCs w:val="16"/>
              </w:rPr>
              <w:t>Üniversite’de (ve ilgili birimde) görev yapan idari ve destek personel sayısından</w:t>
            </w:r>
          </w:p>
        </w:tc>
        <w:tc>
          <w:tcPr>
            <w:tcW w:w="850" w:type="dxa"/>
            <w:shd w:val="clear" w:color="auto" w:fill="E7F9FF"/>
            <w:vAlign w:val="center"/>
          </w:tcPr>
          <w:p w:rsidR="00602C93" w:rsidRPr="00DE0F0C" w:rsidRDefault="00602C93" w:rsidP="001D7D91">
            <w:pPr>
              <w:jc w:val="center"/>
              <w:rPr>
                <w:rFonts w:ascii="Times New Roman" w:hAnsi="Times New Roman" w:cs="Times New Roman"/>
                <w:b/>
                <w:color w:val="00B050"/>
                <w:sz w:val="20"/>
                <w:szCs w:val="20"/>
              </w:rPr>
            </w:pPr>
            <w:r w:rsidRPr="00DE0F0C">
              <w:rPr>
                <w:rFonts w:ascii="Times New Roman" w:hAnsi="Times New Roman" w:cs="Times New Roman"/>
                <w:b/>
                <w:color w:val="00B050"/>
                <w:sz w:val="20"/>
                <w:szCs w:val="20"/>
              </w:rPr>
              <w:t>45,52</w:t>
            </w:r>
          </w:p>
        </w:tc>
        <w:tc>
          <w:tcPr>
            <w:tcW w:w="709" w:type="dxa"/>
            <w:vAlign w:val="center"/>
          </w:tcPr>
          <w:p w:rsidR="00602C93" w:rsidRPr="00C371C8" w:rsidRDefault="00602C93" w:rsidP="001D7D91">
            <w:pPr>
              <w:jc w:val="center"/>
              <w:rPr>
                <w:rFonts w:ascii="Times New Roman" w:hAnsi="Times New Roman" w:cs="Times New Roman"/>
                <w:sz w:val="18"/>
                <w:szCs w:val="18"/>
              </w:rPr>
            </w:pPr>
            <w:r w:rsidRPr="00C371C8">
              <w:rPr>
                <w:rFonts w:ascii="Times New Roman" w:hAnsi="Times New Roman" w:cs="Times New Roman"/>
                <w:sz w:val="18"/>
                <w:szCs w:val="18"/>
              </w:rPr>
              <w:t>23,35</w:t>
            </w:r>
          </w:p>
        </w:tc>
        <w:tc>
          <w:tcPr>
            <w:tcW w:w="1134" w:type="dxa"/>
            <w:shd w:val="clear" w:color="auto" w:fill="FCEEE4"/>
            <w:vAlign w:val="center"/>
          </w:tcPr>
          <w:p w:rsidR="00602C93" w:rsidRPr="00281CCD" w:rsidRDefault="00602C93" w:rsidP="001D7D91">
            <w:pPr>
              <w:jc w:val="center"/>
              <w:rPr>
                <w:rFonts w:ascii="Times New Roman" w:hAnsi="Times New Roman" w:cs="Times New Roman"/>
                <w:color w:val="FF0000"/>
                <w:sz w:val="18"/>
                <w:szCs w:val="18"/>
              </w:rPr>
            </w:pPr>
            <w:r w:rsidRPr="00281CCD">
              <w:rPr>
                <w:rFonts w:ascii="Times New Roman" w:hAnsi="Times New Roman" w:cs="Times New Roman"/>
                <w:color w:val="FF0000"/>
                <w:sz w:val="18"/>
                <w:szCs w:val="18"/>
              </w:rPr>
              <w:t>31,13</w:t>
            </w:r>
          </w:p>
        </w:tc>
      </w:tr>
      <w:tr w:rsidR="00521097" w:rsidRPr="009E5C8F" w:rsidTr="00D55797">
        <w:tc>
          <w:tcPr>
            <w:tcW w:w="455" w:type="dxa"/>
            <w:vAlign w:val="center"/>
          </w:tcPr>
          <w:p w:rsidR="00602C93" w:rsidRPr="009E5C8F" w:rsidRDefault="00602C93" w:rsidP="00B83946">
            <w:pPr>
              <w:spacing w:before="60" w:after="60"/>
              <w:jc w:val="center"/>
              <w:rPr>
                <w:rFonts w:ascii="Times New Roman" w:hAnsi="Times New Roman" w:cs="Times New Roman"/>
                <w:sz w:val="16"/>
                <w:szCs w:val="16"/>
              </w:rPr>
            </w:pPr>
            <w:r w:rsidRPr="009E5C8F">
              <w:rPr>
                <w:rFonts w:ascii="Times New Roman" w:hAnsi="Times New Roman" w:cs="Times New Roman"/>
                <w:sz w:val="16"/>
                <w:szCs w:val="16"/>
              </w:rPr>
              <w:t>12</w:t>
            </w:r>
          </w:p>
        </w:tc>
        <w:tc>
          <w:tcPr>
            <w:tcW w:w="8222" w:type="dxa"/>
          </w:tcPr>
          <w:p w:rsidR="00602C93" w:rsidRPr="009E5C8F" w:rsidRDefault="00602C93" w:rsidP="00602C93">
            <w:pPr>
              <w:spacing w:before="60" w:after="60"/>
              <w:jc w:val="both"/>
              <w:rPr>
                <w:rFonts w:ascii="Times New Roman" w:hAnsi="Times New Roman" w:cs="Times New Roman"/>
                <w:sz w:val="16"/>
                <w:szCs w:val="16"/>
              </w:rPr>
            </w:pPr>
            <w:r w:rsidRPr="009E5C8F">
              <w:rPr>
                <w:rFonts w:ascii="Times New Roman" w:hAnsi="Times New Roman" w:cs="Times New Roman"/>
                <w:sz w:val="16"/>
                <w:szCs w:val="16"/>
              </w:rPr>
              <w:t>Üniversite’de (ve ilgili birimde) görev yapan idari ve destek personelin niteliğinden</w:t>
            </w:r>
          </w:p>
        </w:tc>
        <w:tc>
          <w:tcPr>
            <w:tcW w:w="850" w:type="dxa"/>
            <w:shd w:val="clear" w:color="auto" w:fill="E7F9FF"/>
            <w:vAlign w:val="center"/>
          </w:tcPr>
          <w:p w:rsidR="00602C93" w:rsidRPr="00DE0F0C" w:rsidRDefault="00602C93" w:rsidP="001D7D91">
            <w:pPr>
              <w:jc w:val="center"/>
              <w:rPr>
                <w:rFonts w:ascii="Times New Roman" w:hAnsi="Times New Roman" w:cs="Times New Roman"/>
                <w:b/>
                <w:color w:val="00B050"/>
                <w:sz w:val="20"/>
                <w:szCs w:val="20"/>
              </w:rPr>
            </w:pPr>
            <w:r w:rsidRPr="00DE0F0C">
              <w:rPr>
                <w:rFonts w:ascii="Times New Roman" w:hAnsi="Times New Roman" w:cs="Times New Roman"/>
                <w:b/>
                <w:color w:val="00B050"/>
                <w:sz w:val="20"/>
                <w:szCs w:val="20"/>
              </w:rPr>
              <w:t>46,11</w:t>
            </w:r>
          </w:p>
        </w:tc>
        <w:tc>
          <w:tcPr>
            <w:tcW w:w="709" w:type="dxa"/>
            <w:vAlign w:val="center"/>
          </w:tcPr>
          <w:p w:rsidR="00602C93" w:rsidRPr="00C371C8" w:rsidRDefault="00602C93" w:rsidP="001D7D91">
            <w:pPr>
              <w:jc w:val="center"/>
              <w:rPr>
                <w:rFonts w:ascii="Times New Roman" w:hAnsi="Times New Roman" w:cs="Times New Roman"/>
                <w:sz w:val="18"/>
                <w:szCs w:val="18"/>
              </w:rPr>
            </w:pPr>
            <w:r w:rsidRPr="00C371C8">
              <w:rPr>
                <w:rFonts w:ascii="Times New Roman" w:hAnsi="Times New Roman" w:cs="Times New Roman"/>
                <w:sz w:val="18"/>
                <w:szCs w:val="18"/>
              </w:rPr>
              <w:t>26,94</w:t>
            </w:r>
          </w:p>
        </w:tc>
        <w:tc>
          <w:tcPr>
            <w:tcW w:w="1134" w:type="dxa"/>
            <w:shd w:val="clear" w:color="auto" w:fill="FCEEE4"/>
            <w:vAlign w:val="center"/>
          </w:tcPr>
          <w:p w:rsidR="00602C93" w:rsidRPr="00281CCD" w:rsidRDefault="00602C93" w:rsidP="001D7D91">
            <w:pPr>
              <w:jc w:val="center"/>
              <w:rPr>
                <w:rFonts w:ascii="Times New Roman" w:hAnsi="Times New Roman" w:cs="Times New Roman"/>
                <w:color w:val="FF0000"/>
                <w:sz w:val="18"/>
                <w:szCs w:val="18"/>
              </w:rPr>
            </w:pPr>
            <w:r w:rsidRPr="00281CCD">
              <w:rPr>
                <w:rFonts w:ascii="Times New Roman" w:hAnsi="Times New Roman" w:cs="Times New Roman"/>
                <w:color w:val="FF0000"/>
                <w:sz w:val="18"/>
                <w:szCs w:val="18"/>
              </w:rPr>
              <w:t>26,95</w:t>
            </w:r>
          </w:p>
        </w:tc>
      </w:tr>
      <w:tr w:rsidR="00521097" w:rsidRPr="009E5C8F" w:rsidTr="00D55797">
        <w:tc>
          <w:tcPr>
            <w:tcW w:w="455" w:type="dxa"/>
            <w:vAlign w:val="center"/>
          </w:tcPr>
          <w:p w:rsidR="00602C93" w:rsidRPr="009E5C8F" w:rsidRDefault="00602C93" w:rsidP="00B83946">
            <w:pPr>
              <w:spacing w:before="60" w:after="60"/>
              <w:jc w:val="center"/>
              <w:rPr>
                <w:rFonts w:ascii="Times New Roman" w:hAnsi="Times New Roman" w:cs="Times New Roman"/>
                <w:sz w:val="16"/>
                <w:szCs w:val="16"/>
              </w:rPr>
            </w:pPr>
            <w:r w:rsidRPr="009E5C8F">
              <w:rPr>
                <w:rFonts w:ascii="Times New Roman" w:hAnsi="Times New Roman" w:cs="Times New Roman"/>
                <w:sz w:val="16"/>
                <w:szCs w:val="16"/>
              </w:rPr>
              <w:t>13</w:t>
            </w:r>
          </w:p>
        </w:tc>
        <w:tc>
          <w:tcPr>
            <w:tcW w:w="8222" w:type="dxa"/>
          </w:tcPr>
          <w:p w:rsidR="00602C93" w:rsidRPr="009E5C8F" w:rsidRDefault="00602C93" w:rsidP="00602C93">
            <w:pPr>
              <w:spacing w:before="60" w:after="60"/>
              <w:jc w:val="both"/>
              <w:rPr>
                <w:rFonts w:ascii="Times New Roman" w:hAnsi="Times New Roman" w:cs="Times New Roman"/>
                <w:sz w:val="16"/>
                <w:szCs w:val="16"/>
              </w:rPr>
            </w:pPr>
            <w:r w:rsidRPr="009E5C8F">
              <w:rPr>
                <w:rFonts w:ascii="Times New Roman" w:hAnsi="Times New Roman" w:cs="Times New Roman"/>
                <w:sz w:val="16"/>
                <w:szCs w:val="16"/>
              </w:rPr>
              <w:t>Düşünceleri ifade özgürlüğünden</w:t>
            </w:r>
          </w:p>
        </w:tc>
        <w:tc>
          <w:tcPr>
            <w:tcW w:w="850" w:type="dxa"/>
            <w:shd w:val="clear" w:color="auto" w:fill="E7F9FF"/>
            <w:vAlign w:val="center"/>
          </w:tcPr>
          <w:p w:rsidR="00602C93" w:rsidRPr="00DE0F0C" w:rsidRDefault="00602C93" w:rsidP="001D7D91">
            <w:pPr>
              <w:jc w:val="center"/>
              <w:rPr>
                <w:rFonts w:ascii="Times New Roman" w:hAnsi="Times New Roman" w:cs="Times New Roman"/>
                <w:b/>
                <w:color w:val="00B050"/>
                <w:sz w:val="20"/>
                <w:szCs w:val="20"/>
              </w:rPr>
            </w:pPr>
            <w:r w:rsidRPr="00DE0F0C">
              <w:rPr>
                <w:rFonts w:ascii="Times New Roman" w:hAnsi="Times New Roman" w:cs="Times New Roman"/>
                <w:b/>
                <w:color w:val="00B050"/>
                <w:sz w:val="20"/>
                <w:szCs w:val="20"/>
              </w:rPr>
              <w:t>48,50</w:t>
            </w:r>
          </w:p>
        </w:tc>
        <w:tc>
          <w:tcPr>
            <w:tcW w:w="709" w:type="dxa"/>
            <w:vAlign w:val="center"/>
          </w:tcPr>
          <w:p w:rsidR="00602C93" w:rsidRPr="00C371C8" w:rsidRDefault="00602C93" w:rsidP="001D7D91">
            <w:pPr>
              <w:jc w:val="center"/>
              <w:rPr>
                <w:rFonts w:ascii="Times New Roman" w:hAnsi="Times New Roman" w:cs="Times New Roman"/>
                <w:sz w:val="18"/>
                <w:szCs w:val="18"/>
              </w:rPr>
            </w:pPr>
            <w:r w:rsidRPr="00C371C8">
              <w:rPr>
                <w:rFonts w:ascii="Times New Roman" w:hAnsi="Times New Roman" w:cs="Times New Roman"/>
                <w:sz w:val="18"/>
                <w:szCs w:val="18"/>
              </w:rPr>
              <w:t>22,16</w:t>
            </w:r>
          </w:p>
        </w:tc>
        <w:tc>
          <w:tcPr>
            <w:tcW w:w="1134" w:type="dxa"/>
            <w:shd w:val="clear" w:color="auto" w:fill="FCEEE4"/>
            <w:vAlign w:val="center"/>
          </w:tcPr>
          <w:p w:rsidR="00602C93" w:rsidRPr="00281CCD" w:rsidRDefault="00602C93" w:rsidP="001D7D91">
            <w:pPr>
              <w:jc w:val="center"/>
              <w:rPr>
                <w:rFonts w:ascii="Times New Roman" w:hAnsi="Times New Roman" w:cs="Times New Roman"/>
                <w:color w:val="FF0000"/>
                <w:sz w:val="18"/>
                <w:szCs w:val="18"/>
              </w:rPr>
            </w:pPr>
            <w:r w:rsidRPr="00281CCD">
              <w:rPr>
                <w:rFonts w:ascii="Times New Roman" w:hAnsi="Times New Roman" w:cs="Times New Roman"/>
                <w:color w:val="FF0000"/>
                <w:sz w:val="18"/>
                <w:szCs w:val="18"/>
              </w:rPr>
              <w:t>29,34</w:t>
            </w:r>
          </w:p>
        </w:tc>
      </w:tr>
      <w:tr w:rsidR="00521097" w:rsidRPr="009E5C8F" w:rsidTr="00D55797">
        <w:tc>
          <w:tcPr>
            <w:tcW w:w="455" w:type="dxa"/>
            <w:vAlign w:val="center"/>
          </w:tcPr>
          <w:p w:rsidR="00602C93" w:rsidRPr="009E5C8F" w:rsidRDefault="00602C93" w:rsidP="00B83946">
            <w:pPr>
              <w:spacing w:before="60" w:after="60"/>
              <w:jc w:val="center"/>
              <w:rPr>
                <w:rFonts w:ascii="Times New Roman" w:hAnsi="Times New Roman" w:cs="Times New Roman"/>
                <w:sz w:val="16"/>
                <w:szCs w:val="16"/>
              </w:rPr>
            </w:pPr>
            <w:r w:rsidRPr="009E5C8F">
              <w:rPr>
                <w:rFonts w:ascii="Times New Roman" w:hAnsi="Times New Roman" w:cs="Times New Roman"/>
                <w:sz w:val="16"/>
                <w:szCs w:val="16"/>
              </w:rPr>
              <w:t>14</w:t>
            </w:r>
          </w:p>
        </w:tc>
        <w:tc>
          <w:tcPr>
            <w:tcW w:w="8222" w:type="dxa"/>
          </w:tcPr>
          <w:p w:rsidR="00602C93" w:rsidRPr="009E5C8F" w:rsidRDefault="00602C93" w:rsidP="00602C93">
            <w:pPr>
              <w:spacing w:before="60" w:after="60"/>
              <w:jc w:val="both"/>
              <w:rPr>
                <w:rFonts w:ascii="Times New Roman" w:hAnsi="Times New Roman" w:cs="Times New Roman"/>
                <w:sz w:val="16"/>
                <w:szCs w:val="16"/>
              </w:rPr>
            </w:pPr>
            <w:r w:rsidRPr="009E5C8F">
              <w:rPr>
                <w:rFonts w:ascii="Times New Roman" w:hAnsi="Times New Roman" w:cs="Times New Roman"/>
                <w:sz w:val="16"/>
                <w:szCs w:val="16"/>
              </w:rPr>
              <w:t>Üniversitede yürütülen Kalite Güvencesi ve Kalite Geliştirme çabalarından</w:t>
            </w:r>
          </w:p>
        </w:tc>
        <w:tc>
          <w:tcPr>
            <w:tcW w:w="850" w:type="dxa"/>
            <w:shd w:val="clear" w:color="auto" w:fill="E7F9FF"/>
            <w:vAlign w:val="center"/>
          </w:tcPr>
          <w:p w:rsidR="00602C93" w:rsidRPr="00DE0F0C" w:rsidRDefault="00602C93" w:rsidP="001D7D91">
            <w:pPr>
              <w:jc w:val="center"/>
              <w:rPr>
                <w:rFonts w:ascii="Times New Roman" w:hAnsi="Times New Roman" w:cs="Times New Roman"/>
                <w:b/>
                <w:color w:val="00B050"/>
                <w:sz w:val="20"/>
                <w:szCs w:val="20"/>
              </w:rPr>
            </w:pPr>
            <w:r w:rsidRPr="00DE0F0C">
              <w:rPr>
                <w:rFonts w:ascii="Times New Roman" w:hAnsi="Times New Roman" w:cs="Times New Roman"/>
                <w:b/>
                <w:color w:val="00B050"/>
                <w:sz w:val="20"/>
                <w:szCs w:val="20"/>
              </w:rPr>
              <w:t>47,31</w:t>
            </w:r>
          </w:p>
        </w:tc>
        <w:tc>
          <w:tcPr>
            <w:tcW w:w="709" w:type="dxa"/>
            <w:vAlign w:val="center"/>
          </w:tcPr>
          <w:p w:rsidR="00602C93" w:rsidRPr="00C371C8" w:rsidRDefault="00602C93" w:rsidP="001D7D91">
            <w:pPr>
              <w:jc w:val="center"/>
              <w:rPr>
                <w:rFonts w:ascii="Times New Roman" w:hAnsi="Times New Roman" w:cs="Times New Roman"/>
                <w:sz w:val="18"/>
                <w:szCs w:val="18"/>
              </w:rPr>
            </w:pPr>
            <w:r w:rsidRPr="00C371C8">
              <w:rPr>
                <w:rFonts w:ascii="Times New Roman" w:hAnsi="Times New Roman" w:cs="Times New Roman"/>
                <w:sz w:val="18"/>
                <w:szCs w:val="18"/>
              </w:rPr>
              <w:t>34,73</w:t>
            </w:r>
          </w:p>
        </w:tc>
        <w:tc>
          <w:tcPr>
            <w:tcW w:w="1134" w:type="dxa"/>
            <w:shd w:val="clear" w:color="auto" w:fill="FCEEE4"/>
            <w:vAlign w:val="center"/>
          </w:tcPr>
          <w:p w:rsidR="00602C93" w:rsidRPr="00281CCD" w:rsidRDefault="00602C93" w:rsidP="001D7D91">
            <w:pPr>
              <w:jc w:val="center"/>
              <w:rPr>
                <w:rFonts w:ascii="Times New Roman" w:hAnsi="Times New Roman" w:cs="Times New Roman"/>
                <w:color w:val="FF0000"/>
                <w:sz w:val="18"/>
                <w:szCs w:val="18"/>
              </w:rPr>
            </w:pPr>
            <w:r w:rsidRPr="00281CCD">
              <w:rPr>
                <w:rFonts w:ascii="Times New Roman" w:hAnsi="Times New Roman" w:cs="Times New Roman"/>
                <w:color w:val="FF0000"/>
                <w:sz w:val="18"/>
                <w:szCs w:val="18"/>
              </w:rPr>
              <w:t>17,96</w:t>
            </w:r>
          </w:p>
        </w:tc>
      </w:tr>
      <w:tr w:rsidR="00521097" w:rsidRPr="009E5C8F" w:rsidTr="00D55797">
        <w:tc>
          <w:tcPr>
            <w:tcW w:w="455" w:type="dxa"/>
            <w:vAlign w:val="center"/>
          </w:tcPr>
          <w:p w:rsidR="00602C93" w:rsidRPr="009E5C8F" w:rsidRDefault="00602C93" w:rsidP="00B83946">
            <w:pPr>
              <w:spacing w:before="60" w:after="60"/>
              <w:jc w:val="center"/>
              <w:rPr>
                <w:rFonts w:ascii="Times New Roman" w:hAnsi="Times New Roman" w:cs="Times New Roman"/>
                <w:sz w:val="16"/>
                <w:szCs w:val="16"/>
              </w:rPr>
            </w:pPr>
            <w:r w:rsidRPr="009E5C8F">
              <w:rPr>
                <w:rFonts w:ascii="Times New Roman" w:hAnsi="Times New Roman" w:cs="Times New Roman"/>
                <w:sz w:val="16"/>
                <w:szCs w:val="16"/>
              </w:rPr>
              <w:t>15</w:t>
            </w:r>
          </w:p>
        </w:tc>
        <w:tc>
          <w:tcPr>
            <w:tcW w:w="8222" w:type="dxa"/>
          </w:tcPr>
          <w:p w:rsidR="00602C93" w:rsidRPr="009E5C8F" w:rsidRDefault="00602C93" w:rsidP="00602C93">
            <w:pPr>
              <w:spacing w:before="60" w:after="60"/>
              <w:jc w:val="both"/>
              <w:rPr>
                <w:rFonts w:ascii="Times New Roman" w:hAnsi="Times New Roman" w:cs="Times New Roman"/>
                <w:sz w:val="16"/>
                <w:szCs w:val="16"/>
              </w:rPr>
            </w:pPr>
            <w:r w:rsidRPr="009E5C8F">
              <w:rPr>
                <w:rFonts w:ascii="Times New Roman" w:hAnsi="Times New Roman" w:cs="Times New Roman"/>
                <w:sz w:val="16"/>
                <w:szCs w:val="16"/>
              </w:rPr>
              <w:t>Ödüllendirme sisteminden</w:t>
            </w:r>
          </w:p>
        </w:tc>
        <w:tc>
          <w:tcPr>
            <w:tcW w:w="850" w:type="dxa"/>
            <w:shd w:val="clear" w:color="auto" w:fill="E7F9FF"/>
            <w:vAlign w:val="center"/>
          </w:tcPr>
          <w:p w:rsidR="00602C93" w:rsidRPr="00281CCD" w:rsidRDefault="00602C93" w:rsidP="001D7D91">
            <w:pPr>
              <w:jc w:val="center"/>
              <w:rPr>
                <w:rFonts w:ascii="Times New Roman" w:hAnsi="Times New Roman" w:cs="Times New Roman"/>
                <w:color w:val="00B050"/>
                <w:sz w:val="18"/>
                <w:szCs w:val="18"/>
              </w:rPr>
            </w:pPr>
            <w:r w:rsidRPr="00281CCD">
              <w:rPr>
                <w:rFonts w:ascii="Times New Roman" w:hAnsi="Times New Roman" w:cs="Times New Roman"/>
                <w:color w:val="00B050"/>
                <w:sz w:val="18"/>
                <w:szCs w:val="18"/>
              </w:rPr>
              <w:t>23,95</w:t>
            </w:r>
          </w:p>
        </w:tc>
        <w:tc>
          <w:tcPr>
            <w:tcW w:w="709" w:type="dxa"/>
            <w:vAlign w:val="center"/>
          </w:tcPr>
          <w:p w:rsidR="00602C93" w:rsidRPr="00C371C8" w:rsidRDefault="00602C93" w:rsidP="001D7D91">
            <w:pPr>
              <w:jc w:val="center"/>
              <w:rPr>
                <w:rFonts w:ascii="Times New Roman" w:hAnsi="Times New Roman" w:cs="Times New Roman"/>
                <w:sz w:val="18"/>
                <w:szCs w:val="18"/>
              </w:rPr>
            </w:pPr>
            <w:r w:rsidRPr="00C371C8">
              <w:rPr>
                <w:rFonts w:ascii="Times New Roman" w:hAnsi="Times New Roman" w:cs="Times New Roman"/>
                <w:sz w:val="18"/>
                <w:szCs w:val="18"/>
              </w:rPr>
              <w:t>31,74</w:t>
            </w:r>
          </w:p>
        </w:tc>
        <w:tc>
          <w:tcPr>
            <w:tcW w:w="1134" w:type="dxa"/>
            <w:shd w:val="clear" w:color="auto" w:fill="FCEEE4"/>
            <w:vAlign w:val="center"/>
          </w:tcPr>
          <w:p w:rsidR="00602C93" w:rsidRPr="00DA60C1" w:rsidRDefault="00602C93" w:rsidP="001D7D91">
            <w:pPr>
              <w:jc w:val="center"/>
              <w:rPr>
                <w:rFonts w:ascii="Times New Roman" w:hAnsi="Times New Roman" w:cs="Times New Roman"/>
                <w:b/>
                <w:color w:val="FF0000"/>
                <w:sz w:val="20"/>
                <w:szCs w:val="20"/>
              </w:rPr>
            </w:pPr>
            <w:r w:rsidRPr="00DA60C1">
              <w:rPr>
                <w:rFonts w:ascii="Times New Roman" w:hAnsi="Times New Roman" w:cs="Times New Roman"/>
                <w:b/>
                <w:color w:val="FF0000"/>
                <w:sz w:val="20"/>
                <w:szCs w:val="20"/>
              </w:rPr>
              <w:t>44,31</w:t>
            </w:r>
          </w:p>
        </w:tc>
      </w:tr>
      <w:tr w:rsidR="00521097" w:rsidRPr="009E5C8F" w:rsidTr="00D55797">
        <w:tc>
          <w:tcPr>
            <w:tcW w:w="455" w:type="dxa"/>
            <w:vAlign w:val="center"/>
          </w:tcPr>
          <w:p w:rsidR="00602C93" w:rsidRPr="009E5C8F" w:rsidRDefault="00602C93" w:rsidP="00B83946">
            <w:pPr>
              <w:spacing w:before="60" w:after="60"/>
              <w:jc w:val="center"/>
              <w:rPr>
                <w:rFonts w:ascii="Times New Roman" w:hAnsi="Times New Roman" w:cs="Times New Roman"/>
                <w:sz w:val="16"/>
                <w:szCs w:val="16"/>
              </w:rPr>
            </w:pPr>
            <w:r w:rsidRPr="009E5C8F">
              <w:rPr>
                <w:rFonts w:ascii="Times New Roman" w:hAnsi="Times New Roman" w:cs="Times New Roman"/>
                <w:sz w:val="16"/>
                <w:szCs w:val="16"/>
              </w:rPr>
              <w:t>16</w:t>
            </w:r>
          </w:p>
        </w:tc>
        <w:tc>
          <w:tcPr>
            <w:tcW w:w="8222" w:type="dxa"/>
          </w:tcPr>
          <w:p w:rsidR="00602C93" w:rsidRPr="009E5C8F" w:rsidRDefault="00602C93" w:rsidP="00602C93">
            <w:pPr>
              <w:spacing w:before="60" w:after="60"/>
              <w:jc w:val="both"/>
              <w:rPr>
                <w:rFonts w:ascii="Times New Roman" w:hAnsi="Times New Roman" w:cs="Times New Roman"/>
                <w:sz w:val="16"/>
                <w:szCs w:val="16"/>
              </w:rPr>
            </w:pPr>
            <w:r w:rsidRPr="009E5C8F">
              <w:rPr>
                <w:rFonts w:ascii="Times New Roman" w:hAnsi="Times New Roman" w:cs="Times New Roman"/>
                <w:sz w:val="16"/>
                <w:szCs w:val="16"/>
              </w:rPr>
              <w:t xml:space="preserve">Üniversitemizin </w:t>
            </w:r>
            <w:proofErr w:type="gramStart"/>
            <w:r w:rsidRPr="009E5C8F">
              <w:rPr>
                <w:rFonts w:ascii="Times New Roman" w:hAnsi="Times New Roman" w:cs="Times New Roman"/>
                <w:sz w:val="16"/>
                <w:szCs w:val="16"/>
              </w:rPr>
              <w:t>vizyon</w:t>
            </w:r>
            <w:proofErr w:type="gramEnd"/>
            <w:r w:rsidRPr="009E5C8F">
              <w:rPr>
                <w:rFonts w:ascii="Times New Roman" w:hAnsi="Times New Roman" w:cs="Times New Roman"/>
                <w:sz w:val="16"/>
                <w:szCs w:val="16"/>
              </w:rPr>
              <w:t xml:space="preserve"> ve misyonundan</w:t>
            </w:r>
          </w:p>
        </w:tc>
        <w:tc>
          <w:tcPr>
            <w:tcW w:w="850" w:type="dxa"/>
            <w:shd w:val="clear" w:color="auto" w:fill="E7F9FF"/>
            <w:vAlign w:val="center"/>
          </w:tcPr>
          <w:p w:rsidR="00602C93" w:rsidRPr="00EA6B61" w:rsidRDefault="00602C93" w:rsidP="001D7D91">
            <w:pPr>
              <w:jc w:val="center"/>
              <w:rPr>
                <w:rFonts w:ascii="Times New Roman" w:hAnsi="Times New Roman" w:cs="Times New Roman"/>
                <w:b/>
                <w:color w:val="00B050"/>
                <w:sz w:val="20"/>
                <w:szCs w:val="20"/>
              </w:rPr>
            </w:pPr>
            <w:r w:rsidRPr="00EA6B61">
              <w:rPr>
                <w:rFonts w:ascii="Times New Roman" w:hAnsi="Times New Roman" w:cs="Times New Roman"/>
                <w:b/>
                <w:color w:val="00B050"/>
                <w:sz w:val="20"/>
                <w:szCs w:val="20"/>
              </w:rPr>
              <w:t>49,70</w:t>
            </w:r>
          </w:p>
        </w:tc>
        <w:tc>
          <w:tcPr>
            <w:tcW w:w="709" w:type="dxa"/>
            <w:vAlign w:val="center"/>
          </w:tcPr>
          <w:p w:rsidR="00602C93" w:rsidRPr="00C371C8" w:rsidRDefault="00602C93" w:rsidP="001D7D91">
            <w:pPr>
              <w:jc w:val="center"/>
              <w:rPr>
                <w:rFonts w:ascii="Times New Roman" w:hAnsi="Times New Roman" w:cs="Times New Roman"/>
                <w:sz w:val="18"/>
                <w:szCs w:val="18"/>
              </w:rPr>
            </w:pPr>
            <w:r w:rsidRPr="00C371C8">
              <w:rPr>
                <w:rFonts w:ascii="Times New Roman" w:hAnsi="Times New Roman" w:cs="Times New Roman"/>
                <w:sz w:val="18"/>
                <w:szCs w:val="18"/>
              </w:rPr>
              <w:t>29,94</w:t>
            </w:r>
          </w:p>
        </w:tc>
        <w:tc>
          <w:tcPr>
            <w:tcW w:w="1134" w:type="dxa"/>
            <w:shd w:val="clear" w:color="auto" w:fill="FCEEE4"/>
            <w:vAlign w:val="center"/>
          </w:tcPr>
          <w:p w:rsidR="00602C93" w:rsidRPr="00281CCD" w:rsidRDefault="00602C93" w:rsidP="001D7D91">
            <w:pPr>
              <w:jc w:val="center"/>
              <w:rPr>
                <w:rFonts w:ascii="Times New Roman" w:hAnsi="Times New Roman" w:cs="Times New Roman"/>
                <w:color w:val="FF0000"/>
                <w:sz w:val="18"/>
                <w:szCs w:val="18"/>
              </w:rPr>
            </w:pPr>
            <w:r w:rsidRPr="00281CCD">
              <w:rPr>
                <w:rFonts w:ascii="Times New Roman" w:hAnsi="Times New Roman" w:cs="Times New Roman"/>
                <w:color w:val="FF0000"/>
                <w:sz w:val="18"/>
                <w:szCs w:val="18"/>
              </w:rPr>
              <w:t>20,36</w:t>
            </w:r>
          </w:p>
        </w:tc>
      </w:tr>
      <w:tr w:rsidR="00521097" w:rsidRPr="009E5C8F" w:rsidTr="00D55797">
        <w:tc>
          <w:tcPr>
            <w:tcW w:w="455" w:type="dxa"/>
            <w:vAlign w:val="center"/>
          </w:tcPr>
          <w:p w:rsidR="00602C93" w:rsidRPr="009E5C8F" w:rsidRDefault="00602C93" w:rsidP="00B83946">
            <w:pPr>
              <w:spacing w:before="60" w:after="60"/>
              <w:jc w:val="center"/>
              <w:rPr>
                <w:rFonts w:ascii="Times New Roman" w:hAnsi="Times New Roman" w:cs="Times New Roman"/>
                <w:sz w:val="16"/>
                <w:szCs w:val="16"/>
              </w:rPr>
            </w:pPr>
            <w:r w:rsidRPr="009E5C8F">
              <w:rPr>
                <w:rFonts w:ascii="Times New Roman" w:hAnsi="Times New Roman" w:cs="Times New Roman"/>
                <w:sz w:val="16"/>
                <w:szCs w:val="16"/>
              </w:rPr>
              <w:t>17</w:t>
            </w:r>
          </w:p>
        </w:tc>
        <w:tc>
          <w:tcPr>
            <w:tcW w:w="8222" w:type="dxa"/>
          </w:tcPr>
          <w:p w:rsidR="00602C93" w:rsidRPr="009E5C8F" w:rsidRDefault="00602C93" w:rsidP="00602C93">
            <w:pPr>
              <w:spacing w:before="60" w:after="60"/>
              <w:jc w:val="both"/>
              <w:rPr>
                <w:rFonts w:ascii="Times New Roman" w:hAnsi="Times New Roman" w:cs="Times New Roman"/>
                <w:sz w:val="16"/>
                <w:szCs w:val="16"/>
              </w:rPr>
            </w:pPr>
            <w:r w:rsidRPr="009E5C8F">
              <w:rPr>
                <w:rFonts w:ascii="Times New Roman" w:hAnsi="Times New Roman" w:cs="Times New Roman"/>
                <w:sz w:val="16"/>
                <w:szCs w:val="16"/>
              </w:rPr>
              <w:t>Üniversitemizin Türkiye’deki diğer üniversiteler içindeki konumundan</w:t>
            </w:r>
          </w:p>
        </w:tc>
        <w:tc>
          <w:tcPr>
            <w:tcW w:w="850" w:type="dxa"/>
            <w:shd w:val="clear" w:color="auto" w:fill="E7F9FF"/>
            <w:vAlign w:val="center"/>
          </w:tcPr>
          <w:p w:rsidR="00602C93" w:rsidRPr="00EA6B61" w:rsidRDefault="00602C93" w:rsidP="001D7D91">
            <w:pPr>
              <w:jc w:val="center"/>
              <w:rPr>
                <w:rFonts w:ascii="Times New Roman" w:hAnsi="Times New Roman" w:cs="Times New Roman"/>
                <w:b/>
                <w:color w:val="00B050"/>
                <w:sz w:val="20"/>
                <w:szCs w:val="20"/>
              </w:rPr>
            </w:pPr>
            <w:r w:rsidRPr="00EA6B61">
              <w:rPr>
                <w:rFonts w:ascii="Times New Roman" w:hAnsi="Times New Roman" w:cs="Times New Roman"/>
                <w:b/>
                <w:color w:val="00B050"/>
                <w:sz w:val="20"/>
                <w:szCs w:val="20"/>
              </w:rPr>
              <w:t>42,52</w:t>
            </w:r>
          </w:p>
        </w:tc>
        <w:tc>
          <w:tcPr>
            <w:tcW w:w="709" w:type="dxa"/>
            <w:vAlign w:val="center"/>
          </w:tcPr>
          <w:p w:rsidR="00602C93" w:rsidRPr="00C371C8" w:rsidRDefault="00602C93" w:rsidP="001D7D91">
            <w:pPr>
              <w:jc w:val="center"/>
              <w:rPr>
                <w:rFonts w:ascii="Times New Roman" w:hAnsi="Times New Roman" w:cs="Times New Roman"/>
                <w:sz w:val="18"/>
                <w:szCs w:val="18"/>
              </w:rPr>
            </w:pPr>
            <w:r w:rsidRPr="00C371C8">
              <w:rPr>
                <w:rFonts w:ascii="Times New Roman" w:hAnsi="Times New Roman" w:cs="Times New Roman"/>
                <w:sz w:val="18"/>
                <w:szCs w:val="18"/>
              </w:rPr>
              <w:t>29,94</w:t>
            </w:r>
          </w:p>
        </w:tc>
        <w:tc>
          <w:tcPr>
            <w:tcW w:w="1134" w:type="dxa"/>
            <w:shd w:val="clear" w:color="auto" w:fill="FCEEE4"/>
            <w:vAlign w:val="center"/>
          </w:tcPr>
          <w:p w:rsidR="00602C93" w:rsidRPr="00281CCD" w:rsidRDefault="00602C93" w:rsidP="001D7D91">
            <w:pPr>
              <w:jc w:val="center"/>
              <w:rPr>
                <w:rFonts w:ascii="Times New Roman" w:hAnsi="Times New Roman" w:cs="Times New Roman"/>
                <w:color w:val="FF0000"/>
                <w:sz w:val="18"/>
                <w:szCs w:val="18"/>
              </w:rPr>
            </w:pPr>
            <w:r w:rsidRPr="00281CCD">
              <w:rPr>
                <w:rFonts w:ascii="Times New Roman" w:hAnsi="Times New Roman" w:cs="Times New Roman"/>
                <w:color w:val="FF0000"/>
                <w:sz w:val="18"/>
                <w:szCs w:val="18"/>
              </w:rPr>
              <w:t>27,54</w:t>
            </w:r>
          </w:p>
        </w:tc>
      </w:tr>
      <w:tr w:rsidR="00521097" w:rsidRPr="009E5C8F" w:rsidTr="00D55797">
        <w:tc>
          <w:tcPr>
            <w:tcW w:w="455" w:type="dxa"/>
            <w:vAlign w:val="center"/>
          </w:tcPr>
          <w:p w:rsidR="00602C93" w:rsidRPr="009E5C8F" w:rsidRDefault="00602C93" w:rsidP="00B83946">
            <w:pPr>
              <w:spacing w:before="60" w:after="60"/>
              <w:jc w:val="center"/>
              <w:rPr>
                <w:rFonts w:ascii="Times New Roman" w:hAnsi="Times New Roman" w:cs="Times New Roman"/>
                <w:sz w:val="16"/>
                <w:szCs w:val="16"/>
              </w:rPr>
            </w:pPr>
            <w:r w:rsidRPr="009E5C8F">
              <w:rPr>
                <w:rFonts w:ascii="Times New Roman" w:hAnsi="Times New Roman" w:cs="Times New Roman"/>
                <w:sz w:val="16"/>
                <w:szCs w:val="16"/>
              </w:rPr>
              <w:t>18</w:t>
            </w:r>
          </w:p>
        </w:tc>
        <w:tc>
          <w:tcPr>
            <w:tcW w:w="8222" w:type="dxa"/>
          </w:tcPr>
          <w:p w:rsidR="00602C93" w:rsidRPr="009E5C8F" w:rsidRDefault="00602C93" w:rsidP="00602C93">
            <w:pPr>
              <w:spacing w:before="60" w:after="60"/>
              <w:jc w:val="both"/>
              <w:rPr>
                <w:rFonts w:ascii="Times New Roman" w:hAnsi="Times New Roman" w:cs="Times New Roman"/>
                <w:sz w:val="16"/>
                <w:szCs w:val="16"/>
              </w:rPr>
            </w:pPr>
            <w:r w:rsidRPr="009E5C8F">
              <w:rPr>
                <w:rFonts w:ascii="Times New Roman" w:hAnsi="Times New Roman" w:cs="Times New Roman"/>
                <w:sz w:val="16"/>
                <w:szCs w:val="16"/>
              </w:rPr>
              <w:t>Dış paydaşlarla (kamu kurumları, özel sektör, sivil toplum kuruluşları, halk …) olan ilişkilerden</w:t>
            </w:r>
          </w:p>
        </w:tc>
        <w:tc>
          <w:tcPr>
            <w:tcW w:w="850" w:type="dxa"/>
            <w:shd w:val="clear" w:color="auto" w:fill="E7F9FF"/>
            <w:vAlign w:val="center"/>
          </w:tcPr>
          <w:p w:rsidR="00602C93" w:rsidRPr="00EA6B61" w:rsidRDefault="00602C93" w:rsidP="001D7D91">
            <w:pPr>
              <w:jc w:val="center"/>
              <w:rPr>
                <w:rFonts w:ascii="Times New Roman" w:hAnsi="Times New Roman" w:cs="Times New Roman"/>
                <w:b/>
                <w:color w:val="00B050"/>
                <w:sz w:val="20"/>
                <w:szCs w:val="20"/>
              </w:rPr>
            </w:pPr>
            <w:r w:rsidRPr="00EA6B61">
              <w:rPr>
                <w:rFonts w:ascii="Times New Roman" w:hAnsi="Times New Roman" w:cs="Times New Roman"/>
                <w:b/>
                <w:color w:val="00B050"/>
                <w:sz w:val="20"/>
                <w:szCs w:val="20"/>
              </w:rPr>
              <w:t>49,10</w:t>
            </w:r>
          </w:p>
        </w:tc>
        <w:tc>
          <w:tcPr>
            <w:tcW w:w="709" w:type="dxa"/>
            <w:vAlign w:val="center"/>
          </w:tcPr>
          <w:p w:rsidR="00602C93" w:rsidRPr="00C371C8" w:rsidRDefault="00602C93" w:rsidP="001D7D91">
            <w:pPr>
              <w:jc w:val="center"/>
              <w:rPr>
                <w:rFonts w:ascii="Times New Roman" w:hAnsi="Times New Roman" w:cs="Times New Roman"/>
                <w:sz w:val="18"/>
                <w:szCs w:val="18"/>
              </w:rPr>
            </w:pPr>
            <w:r w:rsidRPr="00C371C8">
              <w:rPr>
                <w:rFonts w:ascii="Times New Roman" w:hAnsi="Times New Roman" w:cs="Times New Roman"/>
                <w:sz w:val="18"/>
                <w:szCs w:val="18"/>
              </w:rPr>
              <w:t>33,53</w:t>
            </w:r>
          </w:p>
        </w:tc>
        <w:tc>
          <w:tcPr>
            <w:tcW w:w="1134" w:type="dxa"/>
            <w:shd w:val="clear" w:color="auto" w:fill="FCEEE4"/>
            <w:vAlign w:val="center"/>
          </w:tcPr>
          <w:p w:rsidR="00602C93" w:rsidRPr="00281CCD" w:rsidRDefault="00602C93" w:rsidP="001D7D91">
            <w:pPr>
              <w:jc w:val="center"/>
              <w:rPr>
                <w:rFonts w:ascii="Times New Roman" w:hAnsi="Times New Roman" w:cs="Times New Roman"/>
                <w:color w:val="FF0000"/>
                <w:sz w:val="18"/>
                <w:szCs w:val="18"/>
              </w:rPr>
            </w:pPr>
            <w:r w:rsidRPr="00281CCD">
              <w:rPr>
                <w:rFonts w:ascii="Times New Roman" w:hAnsi="Times New Roman" w:cs="Times New Roman"/>
                <w:color w:val="FF0000"/>
                <w:sz w:val="18"/>
                <w:szCs w:val="18"/>
              </w:rPr>
              <w:t>17,37</w:t>
            </w:r>
          </w:p>
        </w:tc>
      </w:tr>
      <w:tr w:rsidR="00521097" w:rsidRPr="009E5C8F" w:rsidTr="00D55797">
        <w:tc>
          <w:tcPr>
            <w:tcW w:w="455" w:type="dxa"/>
            <w:vAlign w:val="center"/>
          </w:tcPr>
          <w:p w:rsidR="00602C93" w:rsidRPr="009E5C8F" w:rsidRDefault="00602C93" w:rsidP="00B83946">
            <w:pPr>
              <w:spacing w:before="60" w:after="60"/>
              <w:jc w:val="center"/>
              <w:rPr>
                <w:rFonts w:ascii="Times New Roman" w:hAnsi="Times New Roman" w:cs="Times New Roman"/>
                <w:sz w:val="16"/>
                <w:szCs w:val="16"/>
              </w:rPr>
            </w:pPr>
            <w:r w:rsidRPr="009E5C8F">
              <w:rPr>
                <w:rFonts w:ascii="Times New Roman" w:hAnsi="Times New Roman" w:cs="Times New Roman"/>
                <w:sz w:val="16"/>
                <w:szCs w:val="16"/>
              </w:rPr>
              <w:t>19</w:t>
            </w:r>
          </w:p>
        </w:tc>
        <w:tc>
          <w:tcPr>
            <w:tcW w:w="8222" w:type="dxa"/>
          </w:tcPr>
          <w:p w:rsidR="00602C93" w:rsidRPr="009E5C8F" w:rsidRDefault="00602C93" w:rsidP="00602C93">
            <w:pPr>
              <w:spacing w:before="60" w:after="60"/>
              <w:jc w:val="both"/>
              <w:rPr>
                <w:rFonts w:ascii="Times New Roman" w:hAnsi="Times New Roman" w:cs="Times New Roman"/>
                <w:sz w:val="16"/>
                <w:szCs w:val="16"/>
              </w:rPr>
            </w:pPr>
            <w:r w:rsidRPr="009E5C8F">
              <w:rPr>
                <w:rFonts w:ascii="Times New Roman" w:hAnsi="Times New Roman" w:cs="Times New Roman"/>
                <w:sz w:val="16"/>
                <w:szCs w:val="16"/>
              </w:rPr>
              <w:t>Üniversitemizdeki yabancı uyruklu öğrenci uygulamalarından</w:t>
            </w:r>
          </w:p>
        </w:tc>
        <w:tc>
          <w:tcPr>
            <w:tcW w:w="850" w:type="dxa"/>
            <w:shd w:val="clear" w:color="auto" w:fill="E7F9FF"/>
            <w:vAlign w:val="center"/>
          </w:tcPr>
          <w:p w:rsidR="00602C93" w:rsidRPr="00281CCD" w:rsidRDefault="00602C93" w:rsidP="001D7D91">
            <w:pPr>
              <w:jc w:val="center"/>
              <w:rPr>
                <w:rFonts w:ascii="Times New Roman" w:hAnsi="Times New Roman" w:cs="Times New Roman"/>
                <w:color w:val="00B050"/>
                <w:sz w:val="18"/>
                <w:szCs w:val="18"/>
              </w:rPr>
            </w:pPr>
            <w:r w:rsidRPr="00281CCD">
              <w:rPr>
                <w:rFonts w:ascii="Times New Roman" w:hAnsi="Times New Roman" w:cs="Times New Roman"/>
                <w:color w:val="00B050"/>
                <w:sz w:val="18"/>
                <w:szCs w:val="18"/>
              </w:rPr>
              <w:t>39,52</w:t>
            </w:r>
          </w:p>
        </w:tc>
        <w:tc>
          <w:tcPr>
            <w:tcW w:w="709" w:type="dxa"/>
            <w:vAlign w:val="center"/>
          </w:tcPr>
          <w:p w:rsidR="00602C93" w:rsidRPr="00C371C8" w:rsidRDefault="00602C93" w:rsidP="001D7D91">
            <w:pPr>
              <w:jc w:val="center"/>
              <w:rPr>
                <w:rFonts w:ascii="Times New Roman" w:hAnsi="Times New Roman" w:cs="Times New Roman"/>
                <w:sz w:val="18"/>
                <w:szCs w:val="18"/>
              </w:rPr>
            </w:pPr>
            <w:r w:rsidRPr="00C371C8">
              <w:rPr>
                <w:rFonts w:ascii="Times New Roman" w:hAnsi="Times New Roman" w:cs="Times New Roman"/>
                <w:sz w:val="18"/>
                <w:szCs w:val="18"/>
              </w:rPr>
              <w:t>31,14</w:t>
            </w:r>
          </w:p>
        </w:tc>
        <w:tc>
          <w:tcPr>
            <w:tcW w:w="1134" w:type="dxa"/>
            <w:shd w:val="clear" w:color="auto" w:fill="FCEEE4"/>
            <w:vAlign w:val="center"/>
          </w:tcPr>
          <w:p w:rsidR="00602C93" w:rsidRPr="00281CCD" w:rsidRDefault="00602C93" w:rsidP="001D7D91">
            <w:pPr>
              <w:jc w:val="center"/>
              <w:rPr>
                <w:rFonts w:ascii="Times New Roman" w:hAnsi="Times New Roman" w:cs="Times New Roman"/>
                <w:color w:val="FF0000"/>
                <w:sz w:val="18"/>
                <w:szCs w:val="18"/>
              </w:rPr>
            </w:pPr>
            <w:r w:rsidRPr="00281CCD">
              <w:rPr>
                <w:rFonts w:ascii="Times New Roman" w:hAnsi="Times New Roman" w:cs="Times New Roman"/>
                <w:color w:val="FF0000"/>
                <w:sz w:val="18"/>
                <w:szCs w:val="18"/>
              </w:rPr>
              <w:t>29,34</w:t>
            </w:r>
          </w:p>
        </w:tc>
      </w:tr>
      <w:tr w:rsidR="00521097" w:rsidRPr="009E5C8F" w:rsidTr="00D55797">
        <w:tc>
          <w:tcPr>
            <w:tcW w:w="455" w:type="dxa"/>
            <w:vAlign w:val="center"/>
          </w:tcPr>
          <w:p w:rsidR="00602C93" w:rsidRPr="009E5C8F" w:rsidRDefault="00602C93" w:rsidP="00B83946">
            <w:pPr>
              <w:spacing w:before="60" w:after="60"/>
              <w:jc w:val="center"/>
              <w:rPr>
                <w:rFonts w:ascii="Times New Roman" w:hAnsi="Times New Roman" w:cs="Times New Roman"/>
                <w:sz w:val="16"/>
                <w:szCs w:val="16"/>
              </w:rPr>
            </w:pPr>
            <w:r w:rsidRPr="009E5C8F">
              <w:rPr>
                <w:rFonts w:ascii="Times New Roman" w:hAnsi="Times New Roman" w:cs="Times New Roman"/>
                <w:sz w:val="16"/>
                <w:szCs w:val="16"/>
              </w:rPr>
              <w:t>20</w:t>
            </w:r>
          </w:p>
        </w:tc>
        <w:tc>
          <w:tcPr>
            <w:tcW w:w="8222" w:type="dxa"/>
          </w:tcPr>
          <w:p w:rsidR="00602C93" w:rsidRPr="009E5C8F" w:rsidRDefault="00602C93" w:rsidP="00602C93">
            <w:pPr>
              <w:spacing w:before="60" w:after="60"/>
              <w:jc w:val="both"/>
              <w:rPr>
                <w:rFonts w:ascii="Times New Roman" w:hAnsi="Times New Roman" w:cs="Times New Roman"/>
                <w:sz w:val="16"/>
                <w:szCs w:val="16"/>
              </w:rPr>
            </w:pPr>
            <w:r w:rsidRPr="009E5C8F">
              <w:rPr>
                <w:rFonts w:ascii="Times New Roman" w:hAnsi="Times New Roman" w:cs="Times New Roman"/>
                <w:sz w:val="16"/>
                <w:szCs w:val="16"/>
              </w:rPr>
              <w:t>Fazla mesai ücreti ödemelerinin zamanlamasından</w:t>
            </w:r>
          </w:p>
        </w:tc>
        <w:tc>
          <w:tcPr>
            <w:tcW w:w="850" w:type="dxa"/>
            <w:shd w:val="clear" w:color="auto" w:fill="E7F9FF"/>
            <w:vAlign w:val="center"/>
          </w:tcPr>
          <w:p w:rsidR="00602C93" w:rsidRPr="00281CCD" w:rsidRDefault="00602C93" w:rsidP="001D7D91">
            <w:pPr>
              <w:jc w:val="center"/>
              <w:rPr>
                <w:rFonts w:ascii="Times New Roman" w:hAnsi="Times New Roman" w:cs="Times New Roman"/>
                <w:color w:val="00B050"/>
                <w:sz w:val="18"/>
                <w:szCs w:val="18"/>
              </w:rPr>
            </w:pPr>
            <w:r w:rsidRPr="00281CCD">
              <w:rPr>
                <w:rFonts w:ascii="Times New Roman" w:hAnsi="Times New Roman" w:cs="Times New Roman"/>
                <w:color w:val="00B050"/>
                <w:sz w:val="18"/>
                <w:szCs w:val="18"/>
              </w:rPr>
              <w:t>22,15</w:t>
            </w:r>
          </w:p>
        </w:tc>
        <w:tc>
          <w:tcPr>
            <w:tcW w:w="709" w:type="dxa"/>
            <w:vAlign w:val="center"/>
          </w:tcPr>
          <w:p w:rsidR="00602C93" w:rsidRPr="00C371C8" w:rsidRDefault="00602C93" w:rsidP="001D7D91">
            <w:pPr>
              <w:jc w:val="center"/>
              <w:rPr>
                <w:rFonts w:ascii="Times New Roman" w:hAnsi="Times New Roman" w:cs="Times New Roman"/>
                <w:sz w:val="18"/>
                <w:szCs w:val="18"/>
              </w:rPr>
            </w:pPr>
            <w:r w:rsidRPr="00C371C8">
              <w:rPr>
                <w:rFonts w:ascii="Times New Roman" w:hAnsi="Times New Roman" w:cs="Times New Roman"/>
                <w:sz w:val="18"/>
                <w:szCs w:val="18"/>
              </w:rPr>
              <w:t>31,74</w:t>
            </w:r>
          </w:p>
        </w:tc>
        <w:tc>
          <w:tcPr>
            <w:tcW w:w="1134" w:type="dxa"/>
            <w:shd w:val="clear" w:color="auto" w:fill="FCEEE4"/>
            <w:vAlign w:val="center"/>
          </w:tcPr>
          <w:p w:rsidR="00602C93" w:rsidRPr="00DA60C1" w:rsidRDefault="00602C93" w:rsidP="001D7D91">
            <w:pPr>
              <w:jc w:val="center"/>
              <w:rPr>
                <w:rFonts w:ascii="Times New Roman" w:hAnsi="Times New Roman" w:cs="Times New Roman"/>
                <w:b/>
                <w:color w:val="FF0000"/>
                <w:sz w:val="20"/>
                <w:szCs w:val="20"/>
              </w:rPr>
            </w:pPr>
            <w:r w:rsidRPr="00DA60C1">
              <w:rPr>
                <w:rFonts w:ascii="Times New Roman" w:hAnsi="Times New Roman" w:cs="Times New Roman"/>
                <w:b/>
                <w:color w:val="FF0000"/>
                <w:sz w:val="20"/>
                <w:szCs w:val="20"/>
              </w:rPr>
              <w:t>46,11</w:t>
            </w:r>
          </w:p>
        </w:tc>
      </w:tr>
      <w:tr w:rsidR="00521097" w:rsidRPr="009E5C8F" w:rsidTr="00D55797">
        <w:tc>
          <w:tcPr>
            <w:tcW w:w="455" w:type="dxa"/>
            <w:vAlign w:val="center"/>
          </w:tcPr>
          <w:p w:rsidR="00602C93" w:rsidRPr="009E5C8F" w:rsidRDefault="00602C93" w:rsidP="00B83946">
            <w:pPr>
              <w:spacing w:before="60" w:after="60"/>
              <w:jc w:val="center"/>
              <w:rPr>
                <w:rFonts w:ascii="Times New Roman" w:hAnsi="Times New Roman" w:cs="Times New Roman"/>
                <w:sz w:val="16"/>
                <w:szCs w:val="16"/>
              </w:rPr>
            </w:pPr>
            <w:r w:rsidRPr="009E5C8F">
              <w:rPr>
                <w:rFonts w:ascii="Times New Roman" w:hAnsi="Times New Roman" w:cs="Times New Roman"/>
                <w:sz w:val="16"/>
                <w:szCs w:val="16"/>
              </w:rPr>
              <w:t>21</w:t>
            </w:r>
          </w:p>
        </w:tc>
        <w:tc>
          <w:tcPr>
            <w:tcW w:w="8222" w:type="dxa"/>
          </w:tcPr>
          <w:p w:rsidR="00602C93" w:rsidRPr="009E5C8F" w:rsidRDefault="00602C93" w:rsidP="00602C93">
            <w:pPr>
              <w:spacing w:before="60" w:after="60"/>
              <w:jc w:val="both"/>
              <w:rPr>
                <w:rFonts w:ascii="Times New Roman" w:hAnsi="Times New Roman" w:cs="Times New Roman"/>
                <w:sz w:val="16"/>
                <w:szCs w:val="16"/>
              </w:rPr>
            </w:pPr>
            <w:r w:rsidRPr="009E5C8F">
              <w:rPr>
                <w:rFonts w:ascii="Times New Roman" w:hAnsi="Times New Roman" w:cs="Times New Roman"/>
                <w:sz w:val="16"/>
                <w:szCs w:val="16"/>
              </w:rPr>
              <w:t>Birim yöneticilerine ulaşılabilirlikten</w:t>
            </w:r>
          </w:p>
        </w:tc>
        <w:tc>
          <w:tcPr>
            <w:tcW w:w="850" w:type="dxa"/>
            <w:shd w:val="clear" w:color="auto" w:fill="E7F9FF"/>
            <w:vAlign w:val="center"/>
          </w:tcPr>
          <w:p w:rsidR="00602C93" w:rsidRPr="00D26BBF" w:rsidRDefault="00602C93" w:rsidP="001D7D91">
            <w:pPr>
              <w:jc w:val="center"/>
              <w:rPr>
                <w:rFonts w:ascii="Times New Roman" w:hAnsi="Times New Roman" w:cs="Times New Roman"/>
                <w:b/>
                <w:color w:val="00B050"/>
                <w:sz w:val="20"/>
                <w:szCs w:val="20"/>
              </w:rPr>
            </w:pPr>
            <w:r w:rsidRPr="00D26BBF">
              <w:rPr>
                <w:rFonts w:ascii="Times New Roman" w:hAnsi="Times New Roman" w:cs="Times New Roman"/>
                <w:b/>
                <w:color w:val="00B050"/>
                <w:sz w:val="20"/>
                <w:szCs w:val="20"/>
              </w:rPr>
              <w:t>73,65</w:t>
            </w:r>
          </w:p>
        </w:tc>
        <w:tc>
          <w:tcPr>
            <w:tcW w:w="709" w:type="dxa"/>
            <w:vAlign w:val="center"/>
          </w:tcPr>
          <w:p w:rsidR="00602C93" w:rsidRPr="00C371C8" w:rsidRDefault="00602C93" w:rsidP="001D7D91">
            <w:pPr>
              <w:jc w:val="center"/>
              <w:rPr>
                <w:rFonts w:ascii="Times New Roman" w:hAnsi="Times New Roman" w:cs="Times New Roman"/>
                <w:sz w:val="18"/>
                <w:szCs w:val="18"/>
              </w:rPr>
            </w:pPr>
            <w:r w:rsidRPr="00C371C8">
              <w:rPr>
                <w:rFonts w:ascii="Times New Roman" w:hAnsi="Times New Roman" w:cs="Times New Roman"/>
                <w:sz w:val="18"/>
                <w:szCs w:val="18"/>
              </w:rPr>
              <w:t>14,37</w:t>
            </w:r>
          </w:p>
        </w:tc>
        <w:tc>
          <w:tcPr>
            <w:tcW w:w="1134" w:type="dxa"/>
            <w:shd w:val="clear" w:color="auto" w:fill="FCEEE4"/>
            <w:vAlign w:val="center"/>
          </w:tcPr>
          <w:p w:rsidR="00602C93" w:rsidRPr="00281CCD" w:rsidRDefault="00602C93" w:rsidP="001D7D91">
            <w:pPr>
              <w:jc w:val="center"/>
              <w:rPr>
                <w:rFonts w:ascii="Times New Roman" w:hAnsi="Times New Roman" w:cs="Times New Roman"/>
                <w:color w:val="FF0000"/>
                <w:sz w:val="18"/>
                <w:szCs w:val="18"/>
              </w:rPr>
            </w:pPr>
            <w:r w:rsidRPr="00281CCD">
              <w:rPr>
                <w:rFonts w:ascii="Times New Roman" w:hAnsi="Times New Roman" w:cs="Times New Roman"/>
                <w:color w:val="FF0000"/>
                <w:sz w:val="18"/>
                <w:szCs w:val="18"/>
              </w:rPr>
              <w:t>11,98</w:t>
            </w:r>
          </w:p>
        </w:tc>
      </w:tr>
      <w:tr w:rsidR="00521097" w:rsidRPr="009E5C8F" w:rsidTr="00D55797">
        <w:tc>
          <w:tcPr>
            <w:tcW w:w="455" w:type="dxa"/>
            <w:vAlign w:val="center"/>
          </w:tcPr>
          <w:p w:rsidR="00602C93" w:rsidRPr="009E5C8F" w:rsidRDefault="00602C93" w:rsidP="00B83946">
            <w:pPr>
              <w:spacing w:before="60" w:after="60"/>
              <w:jc w:val="center"/>
              <w:rPr>
                <w:rFonts w:ascii="Times New Roman" w:hAnsi="Times New Roman" w:cs="Times New Roman"/>
                <w:sz w:val="16"/>
                <w:szCs w:val="16"/>
              </w:rPr>
            </w:pPr>
            <w:r w:rsidRPr="009E5C8F">
              <w:rPr>
                <w:rFonts w:ascii="Times New Roman" w:hAnsi="Times New Roman" w:cs="Times New Roman"/>
                <w:sz w:val="16"/>
                <w:szCs w:val="16"/>
              </w:rPr>
              <w:t>22</w:t>
            </w:r>
          </w:p>
        </w:tc>
        <w:tc>
          <w:tcPr>
            <w:tcW w:w="8222" w:type="dxa"/>
          </w:tcPr>
          <w:p w:rsidR="00602C93" w:rsidRPr="009E5C8F" w:rsidRDefault="00602C93" w:rsidP="00602C93">
            <w:pPr>
              <w:spacing w:before="60" w:after="60"/>
              <w:jc w:val="both"/>
              <w:rPr>
                <w:rFonts w:ascii="Times New Roman" w:hAnsi="Times New Roman" w:cs="Times New Roman"/>
                <w:sz w:val="16"/>
                <w:szCs w:val="16"/>
              </w:rPr>
            </w:pPr>
            <w:r w:rsidRPr="009E5C8F">
              <w:rPr>
                <w:rFonts w:ascii="Times New Roman" w:hAnsi="Times New Roman" w:cs="Times New Roman"/>
                <w:sz w:val="16"/>
                <w:szCs w:val="16"/>
              </w:rPr>
              <w:t>Üniversite üst yönetimine (Rektör, Rektör Yardımcıları) ulaşılabilirlikten</w:t>
            </w:r>
          </w:p>
        </w:tc>
        <w:tc>
          <w:tcPr>
            <w:tcW w:w="850" w:type="dxa"/>
            <w:shd w:val="clear" w:color="auto" w:fill="E7F9FF"/>
            <w:vAlign w:val="center"/>
          </w:tcPr>
          <w:p w:rsidR="00602C93" w:rsidRPr="009E164C" w:rsidRDefault="00602C93" w:rsidP="001D7D91">
            <w:pPr>
              <w:jc w:val="center"/>
              <w:rPr>
                <w:rFonts w:ascii="Times New Roman" w:hAnsi="Times New Roman" w:cs="Times New Roman"/>
                <w:b/>
                <w:color w:val="00B050"/>
                <w:sz w:val="20"/>
                <w:szCs w:val="20"/>
              </w:rPr>
            </w:pPr>
            <w:r w:rsidRPr="009E164C">
              <w:rPr>
                <w:rFonts w:ascii="Times New Roman" w:hAnsi="Times New Roman" w:cs="Times New Roman"/>
                <w:b/>
                <w:color w:val="00B050"/>
                <w:sz w:val="20"/>
                <w:szCs w:val="20"/>
              </w:rPr>
              <w:t>62,28</w:t>
            </w:r>
          </w:p>
        </w:tc>
        <w:tc>
          <w:tcPr>
            <w:tcW w:w="709" w:type="dxa"/>
            <w:vAlign w:val="center"/>
          </w:tcPr>
          <w:p w:rsidR="00602C93" w:rsidRPr="00C371C8" w:rsidRDefault="00602C93" w:rsidP="001D7D91">
            <w:pPr>
              <w:jc w:val="center"/>
              <w:rPr>
                <w:rFonts w:ascii="Times New Roman" w:hAnsi="Times New Roman" w:cs="Times New Roman"/>
                <w:sz w:val="18"/>
                <w:szCs w:val="18"/>
              </w:rPr>
            </w:pPr>
            <w:r w:rsidRPr="00C371C8">
              <w:rPr>
                <w:rFonts w:ascii="Times New Roman" w:hAnsi="Times New Roman" w:cs="Times New Roman"/>
                <w:sz w:val="18"/>
                <w:szCs w:val="18"/>
              </w:rPr>
              <w:t>22,16</w:t>
            </w:r>
          </w:p>
        </w:tc>
        <w:tc>
          <w:tcPr>
            <w:tcW w:w="1134" w:type="dxa"/>
            <w:shd w:val="clear" w:color="auto" w:fill="FCEEE4"/>
            <w:vAlign w:val="center"/>
          </w:tcPr>
          <w:p w:rsidR="00602C93" w:rsidRPr="00281CCD" w:rsidRDefault="00602C93" w:rsidP="001D7D91">
            <w:pPr>
              <w:jc w:val="center"/>
              <w:rPr>
                <w:rFonts w:ascii="Times New Roman" w:hAnsi="Times New Roman" w:cs="Times New Roman"/>
                <w:color w:val="FF0000"/>
                <w:sz w:val="18"/>
                <w:szCs w:val="18"/>
              </w:rPr>
            </w:pPr>
            <w:r w:rsidRPr="00281CCD">
              <w:rPr>
                <w:rFonts w:ascii="Times New Roman" w:hAnsi="Times New Roman" w:cs="Times New Roman"/>
                <w:color w:val="FF0000"/>
                <w:sz w:val="18"/>
                <w:szCs w:val="18"/>
              </w:rPr>
              <w:t>15,56</w:t>
            </w:r>
          </w:p>
        </w:tc>
      </w:tr>
      <w:tr w:rsidR="00521097" w:rsidRPr="009E5C8F" w:rsidTr="00D55797">
        <w:tc>
          <w:tcPr>
            <w:tcW w:w="455" w:type="dxa"/>
            <w:vAlign w:val="center"/>
          </w:tcPr>
          <w:p w:rsidR="00602C93" w:rsidRPr="009E5C8F" w:rsidRDefault="00602C93" w:rsidP="00B83946">
            <w:pPr>
              <w:spacing w:before="60" w:after="60"/>
              <w:jc w:val="center"/>
              <w:rPr>
                <w:rFonts w:ascii="Times New Roman" w:hAnsi="Times New Roman" w:cs="Times New Roman"/>
                <w:sz w:val="16"/>
                <w:szCs w:val="16"/>
              </w:rPr>
            </w:pPr>
            <w:r w:rsidRPr="009E5C8F">
              <w:rPr>
                <w:rFonts w:ascii="Times New Roman" w:hAnsi="Times New Roman" w:cs="Times New Roman"/>
                <w:sz w:val="16"/>
                <w:szCs w:val="16"/>
              </w:rPr>
              <w:t>23</w:t>
            </w:r>
          </w:p>
        </w:tc>
        <w:tc>
          <w:tcPr>
            <w:tcW w:w="8222" w:type="dxa"/>
          </w:tcPr>
          <w:p w:rsidR="00602C93" w:rsidRPr="009E5C8F" w:rsidRDefault="00602C93" w:rsidP="00602C93">
            <w:pPr>
              <w:spacing w:before="60" w:after="60"/>
              <w:jc w:val="both"/>
              <w:rPr>
                <w:rFonts w:ascii="Times New Roman" w:hAnsi="Times New Roman" w:cs="Times New Roman"/>
                <w:sz w:val="16"/>
                <w:szCs w:val="16"/>
              </w:rPr>
            </w:pPr>
            <w:r w:rsidRPr="009E5C8F">
              <w:rPr>
                <w:rFonts w:ascii="Times New Roman" w:hAnsi="Times New Roman" w:cs="Times New Roman"/>
                <w:sz w:val="16"/>
                <w:szCs w:val="16"/>
              </w:rPr>
              <w:t>İdari personel arasındaki iletişim ve ilişkilerden</w:t>
            </w:r>
          </w:p>
        </w:tc>
        <w:tc>
          <w:tcPr>
            <w:tcW w:w="850" w:type="dxa"/>
            <w:shd w:val="clear" w:color="auto" w:fill="E7F9FF"/>
            <w:vAlign w:val="center"/>
          </w:tcPr>
          <w:p w:rsidR="00602C93" w:rsidRPr="009E164C" w:rsidRDefault="00602C93" w:rsidP="001D7D91">
            <w:pPr>
              <w:jc w:val="center"/>
              <w:rPr>
                <w:rFonts w:ascii="Times New Roman" w:hAnsi="Times New Roman" w:cs="Times New Roman"/>
                <w:b/>
                <w:color w:val="00B050"/>
                <w:sz w:val="20"/>
                <w:szCs w:val="20"/>
              </w:rPr>
            </w:pPr>
            <w:r w:rsidRPr="009E164C">
              <w:rPr>
                <w:rFonts w:ascii="Times New Roman" w:hAnsi="Times New Roman" w:cs="Times New Roman"/>
                <w:b/>
                <w:color w:val="00B050"/>
                <w:sz w:val="20"/>
                <w:szCs w:val="20"/>
              </w:rPr>
              <w:t>58,08</w:t>
            </w:r>
          </w:p>
        </w:tc>
        <w:tc>
          <w:tcPr>
            <w:tcW w:w="709" w:type="dxa"/>
            <w:vAlign w:val="center"/>
          </w:tcPr>
          <w:p w:rsidR="00602C93" w:rsidRPr="00C371C8" w:rsidRDefault="00602C93" w:rsidP="001D7D91">
            <w:pPr>
              <w:jc w:val="center"/>
              <w:rPr>
                <w:rFonts w:ascii="Times New Roman" w:hAnsi="Times New Roman" w:cs="Times New Roman"/>
                <w:sz w:val="18"/>
                <w:szCs w:val="18"/>
              </w:rPr>
            </w:pPr>
            <w:r w:rsidRPr="00C371C8">
              <w:rPr>
                <w:rFonts w:ascii="Times New Roman" w:hAnsi="Times New Roman" w:cs="Times New Roman"/>
                <w:sz w:val="18"/>
                <w:szCs w:val="18"/>
              </w:rPr>
              <w:t>20,36</w:t>
            </w:r>
          </w:p>
        </w:tc>
        <w:tc>
          <w:tcPr>
            <w:tcW w:w="1134" w:type="dxa"/>
            <w:shd w:val="clear" w:color="auto" w:fill="FCEEE4"/>
            <w:vAlign w:val="center"/>
          </w:tcPr>
          <w:p w:rsidR="00602C93" w:rsidRPr="00281CCD" w:rsidRDefault="00602C93" w:rsidP="001D7D91">
            <w:pPr>
              <w:jc w:val="center"/>
              <w:rPr>
                <w:rFonts w:ascii="Times New Roman" w:hAnsi="Times New Roman" w:cs="Times New Roman"/>
                <w:color w:val="FF0000"/>
                <w:sz w:val="18"/>
                <w:szCs w:val="18"/>
              </w:rPr>
            </w:pPr>
            <w:r w:rsidRPr="00281CCD">
              <w:rPr>
                <w:rFonts w:ascii="Times New Roman" w:hAnsi="Times New Roman" w:cs="Times New Roman"/>
                <w:color w:val="FF0000"/>
                <w:sz w:val="18"/>
                <w:szCs w:val="18"/>
              </w:rPr>
              <w:t>21,56</w:t>
            </w:r>
          </w:p>
        </w:tc>
      </w:tr>
      <w:tr w:rsidR="00521097" w:rsidRPr="009E5C8F" w:rsidTr="00D55797">
        <w:tc>
          <w:tcPr>
            <w:tcW w:w="455" w:type="dxa"/>
            <w:vAlign w:val="center"/>
          </w:tcPr>
          <w:p w:rsidR="00602C93" w:rsidRPr="009E5C8F" w:rsidRDefault="00602C93" w:rsidP="00B83946">
            <w:pPr>
              <w:spacing w:before="60" w:after="60"/>
              <w:jc w:val="center"/>
              <w:rPr>
                <w:rFonts w:ascii="Times New Roman" w:hAnsi="Times New Roman" w:cs="Times New Roman"/>
                <w:sz w:val="16"/>
                <w:szCs w:val="16"/>
              </w:rPr>
            </w:pPr>
            <w:r w:rsidRPr="009E5C8F">
              <w:rPr>
                <w:rFonts w:ascii="Times New Roman" w:hAnsi="Times New Roman" w:cs="Times New Roman"/>
                <w:sz w:val="16"/>
                <w:szCs w:val="16"/>
              </w:rPr>
              <w:t>24</w:t>
            </w:r>
          </w:p>
        </w:tc>
        <w:tc>
          <w:tcPr>
            <w:tcW w:w="8222" w:type="dxa"/>
          </w:tcPr>
          <w:p w:rsidR="00602C93" w:rsidRPr="009E5C8F" w:rsidRDefault="00602C93" w:rsidP="00602C93">
            <w:pPr>
              <w:spacing w:before="60" w:after="60"/>
              <w:jc w:val="both"/>
              <w:rPr>
                <w:rFonts w:ascii="Times New Roman" w:hAnsi="Times New Roman" w:cs="Times New Roman"/>
                <w:color w:val="FF0000"/>
                <w:sz w:val="16"/>
                <w:szCs w:val="16"/>
              </w:rPr>
            </w:pPr>
            <w:r w:rsidRPr="009E5C8F">
              <w:rPr>
                <w:rFonts w:ascii="Times New Roman" w:hAnsi="Times New Roman" w:cs="Times New Roman"/>
                <w:sz w:val="16"/>
                <w:szCs w:val="16"/>
              </w:rPr>
              <w:t>Akademik personel ile iletişim ve ilişkilerden</w:t>
            </w:r>
          </w:p>
        </w:tc>
        <w:tc>
          <w:tcPr>
            <w:tcW w:w="850" w:type="dxa"/>
            <w:shd w:val="clear" w:color="auto" w:fill="E7F9FF"/>
            <w:vAlign w:val="center"/>
          </w:tcPr>
          <w:p w:rsidR="00602C93" w:rsidRPr="00AB102F" w:rsidRDefault="00602C93" w:rsidP="001D7D91">
            <w:pPr>
              <w:jc w:val="center"/>
              <w:rPr>
                <w:rFonts w:ascii="Times New Roman" w:hAnsi="Times New Roman" w:cs="Times New Roman"/>
                <w:b/>
                <w:color w:val="00B050"/>
                <w:sz w:val="20"/>
                <w:szCs w:val="20"/>
              </w:rPr>
            </w:pPr>
            <w:r w:rsidRPr="00AB102F">
              <w:rPr>
                <w:rFonts w:ascii="Times New Roman" w:hAnsi="Times New Roman" w:cs="Times New Roman"/>
                <w:b/>
                <w:color w:val="00B050"/>
                <w:sz w:val="20"/>
                <w:szCs w:val="20"/>
              </w:rPr>
              <w:t>47,90</w:t>
            </w:r>
          </w:p>
        </w:tc>
        <w:tc>
          <w:tcPr>
            <w:tcW w:w="709" w:type="dxa"/>
            <w:vAlign w:val="center"/>
          </w:tcPr>
          <w:p w:rsidR="00602C93" w:rsidRPr="00C371C8" w:rsidRDefault="00602C93" w:rsidP="001D7D91">
            <w:pPr>
              <w:jc w:val="center"/>
              <w:rPr>
                <w:rFonts w:ascii="Times New Roman" w:hAnsi="Times New Roman" w:cs="Times New Roman"/>
                <w:sz w:val="18"/>
                <w:szCs w:val="18"/>
              </w:rPr>
            </w:pPr>
            <w:r w:rsidRPr="00C371C8">
              <w:rPr>
                <w:rFonts w:ascii="Times New Roman" w:hAnsi="Times New Roman" w:cs="Times New Roman"/>
                <w:sz w:val="18"/>
                <w:szCs w:val="18"/>
              </w:rPr>
              <w:t>26,95</w:t>
            </w:r>
          </w:p>
        </w:tc>
        <w:tc>
          <w:tcPr>
            <w:tcW w:w="1134" w:type="dxa"/>
            <w:shd w:val="clear" w:color="auto" w:fill="FCEEE4"/>
            <w:vAlign w:val="center"/>
          </w:tcPr>
          <w:p w:rsidR="00602C93" w:rsidRPr="00281CCD" w:rsidRDefault="00602C93" w:rsidP="001D7D91">
            <w:pPr>
              <w:jc w:val="center"/>
              <w:rPr>
                <w:rFonts w:ascii="Times New Roman" w:hAnsi="Times New Roman" w:cs="Times New Roman"/>
                <w:color w:val="FF0000"/>
                <w:sz w:val="18"/>
                <w:szCs w:val="18"/>
              </w:rPr>
            </w:pPr>
            <w:r w:rsidRPr="00281CCD">
              <w:rPr>
                <w:rFonts w:ascii="Times New Roman" w:hAnsi="Times New Roman" w:cs="Times New Roman"/>
                <w:color w:val="FF0000"/>
                <w:sz w:val="18"/>
                <w:szCs w:val="18"/>
              </w:rPr>
              <w:t>25,15</w:t>
            </w:r>
          </w:p>
        </w:tc>
      </w:tr>
      <w:tr w:rsidR="00521097" w:rsidRPr="009E5C8F" w:rsidTr="00D55797">
        <w:tc>
          <w:tcPr>
            <w:tcW w:w="455" w:type="dxa"/>
            <w:vAlign w:val="center"/>
          </w:tcPr>
          <w:p w:rsidR="00602C93" w:rsidRPr="009E5C8F" w:rsidRDefault="00602C93" w:rsidP="00B83946">
            <w:pPr>
              <w:spacing w:before="60" w:after="60"/>
              <w:jc w:val="center"/>
              <w:rPr>
                <w:rFonts w:ascii="Times New Roman" w:hAnsi="Times New Roman" w:cs="Times New Roman"/>
                <w:sz w:val="16"/>
                <w:szCs w:val="16"/>
              </w:rPr>
            </w:pPr>
            <w:r w:rsidRPr="009E5C8F">
              <w:rPr>
                <w:rFonts w:ascii="Times New Roman" w:hAnsi="Times New Roman" w:cs="Times New Roman"/>
                <w:sz w:val="16"/>
                <w:szCs w:val="16"/>
              </w:rPr>
              <w:t>25</w:t>
            </w:r>
          </w:p>
        </w:tc>
        <w:tc>
          <w:tcPr>
            <w:tcW w:w="8222" w:type="dxa"/>
          </w:tcPr>
          <w:p w:rsidR="00602C93" w:rsidRPr="009E5C8F" w:rsidRDefault="00602C93" w:rsidP="00602C93">
            <w:pPr>
              <w:spacing w:before="60" w:after="60"/>
              <w:jc w:val="both"/>
              <w:rPr>
                <w:rFonts w:ascii="Times New Roman" w:hAnsi="Times New Roman" w:cs="Times New Roman"/>
                <w:color w:val="FF0000"/>
                <w:sz w:val="16"/>
                <w:szCs w:val="16"/>
              </w:rPr>
            </w:pPr>
            <w:r w:rsidRPr="009E5C8F">
              <w:rPr>
                <w:rFonts w:ascii="Times New Roman" w:hAnsi="Times New Roman" w:cs="Times New Roman"/>
                <w:sz w:val="16"/>
                <w:szCs w:val="16"/>
              </w:rPr>
              <w:t>Diğer üniversiteler ile olan ilişkilerden</w:t>
            </w:r>
          </w:p>
        </w:tc>
        <w:tc>
          <w:tcPr>
            <w:tcW w:w="850" w:type="dxa"/>
            <w:shd w:val="clear" w:color="auto" w:fill="E7F9FF"/>
            <w:vAlign w:val="center"/>
          </w:tcPr>
          <w:p w:rsidR="00602C93" w:rsidRPr="00AB102F" w:rsidRDefault="00602C93" w:rsidP="001D7D91">
            <w:pPr>
              <w:jc w:val="center"/>
              <w:rPr>
                <w:rFonts w:ascii="Times New Roman" w:hAnsi="Times New Roman" w:cs="Times New Roman"/>
                <w:b/>
                <w:color w:val="00B050"/>
                <w:sz w:val="20"/>
                <w:szCs w:val="20"/>
              </w:rPr>
            </w:pPr>
            <w:r w:rsidRPr="00AB102F">
              <w:rPr>
                <w:rFonts w:ascii="Times New Roman" w:hAnsi="Times New Roman" w:cs="Times New Roman"/>
                <w:b/>
                <w:color w:val="00B050"/>
                <w:sz w:val="20"/>
                <w:szCs w:val="20"/>
              </w:rPr>
              <w:t>43,12</w:t>
            </w:r>
          </w:p>
        </w:tc>
        <w:tc>
          <w:tcPr>
            <w:tcW w:w="709" w:type="dxa"/>
            <w:vAlign w:val="center"/>
          </w:tcPr>
          <w:p w:rsidR="00602C93" w:rsidRPr="0035497F" w:rsidRDefault="00602C93" w:rsidP="001D7D91">
            <w:pPr>
              <w:jc w:val="center"/>
              <w:rPr>
                <w:rFonts w:ascii="Times New Roman" w:hAnsi="Times New Roman" w:cs="Times New Roman"/>
                <w:sz w:val="20"/>
                <w:szCs w:val="20"/>
              </w:rPr>
            </w:pPr>
            <w:r w:rsidRPr="0035497F">
              <w:rPr>
                <w:rFonts w:ascii="Times New Roman" w:hAnsi="Times New Roman" w:cs="Times New Roman"/>
                <w:sz w:val="20"/>
                <w:szCs w:val="20"/>
              </w:rPr>
              <w:t>48,50</w:t>
            </w:r>
          </w:p>
        </w:tc>
        <w:tc>
          <w:tcPr>
            <w:tcW w:w="1134" w:type="dxa"/>
            <w:shd w:val="clear" w:color="auto" w:fill="FCEEE4"/>
            <w:vAlign w:val="center"/>
          </w:tcPr>
          <w:p w:rsidR="00602C93" w:rsidRPr="00281CCD" w:rsidRDefault="00602C93" w:rsidP="001D7D91">
            <w:pPr>
              <w:jc w:val="center"/>
              <w:rPr>
                <w:rFonts w:ascii="Times New Roman" w:hAnsi="Times New Roman" w:cs="Times New Roman"/>
                <w:color w:val="FF0000"/>
                <w:sz w:val="18"/>
                <w:szCs w:val="18"/>
              </w:rPr>
            </w:pPr>
            <w:r w:rsidRPr="00281CCD">
              <w:rPr>
                <w:rFonts w:ascii="Times New Roman" w:hAnsi="Times New Roman" w:cs="Times New Roman"/>
                <w:color w:val="FF0000"/>
                <w:sz w:val="18"/>
                <w:szCs w:val="18"/>
              </w:rPr>
              <w:t>8,38</w:t>
            </w:r>
          </w:p>
        </w:tc>
      </w:tr>
      <w:tr w:rsidR="00521097" w:rsidRPr="009E5C8F" w:rsidTr="00D55797">
        <w:tc>
          <w:tcPr>
            <w:tcW w:w="455" w:type="dxa"/>
            <w:vAlign w:val="center"/>
          </w:tcPr>
          <w:p w:rsidR="00602C93" w:rsidRPr="009E5C8F" w:rsidRDefault="00602C93" w:rsidP="00B83946">
            <w:pPr>
              <w:spacing w:before="60" w:after="60"/>
              <w:jc w:val="center"/>
              <w:rPr>
                <w:rFonts w:ascii="Times New Roman" w:hAnsi="Times New Roman" w:cs="Times New Roman"/>
                <w:sz w:val="16"/>
                <w:szCs w:val="16"/>
              </w:rPr>
            </w:pPr>
            <w:r w:rsidRPr="009E5C8F">
              <w:rPr>
                <w:rFonts w:ascii="Times New Roman" w:hAnsi="Times New Roman" w:cs="Times New Roman"/>
                <w:sz w:val="16"/>
                <w:szCs w:val="16"/>
              </w:rPr>
              <w:t>26</w:t>
            </w:r>
          </w:p>
        </w:tc>
        <w:tc>
          <w:tcPr>
            <w:tcW w:w="8222" w:type="dxa"/>
          </w:tcPr>
          <w:p w:rsidR="00602C93" w:rsidRPr="009E5C8F" w:rsidRDefault="00602C93" w:rsidP="00602C93">
            <w:pPr>
              <w:spacing w:before="60" w:after="60"/>
              <w:jc w:val="both"/>
              <w:rPr>
                <w:rFonts w:ascii="Times New Roman" w:hAnsi="Times New Roman" w:cs="Times New Roman"/>
                <w:sz w:val="16"/>
                <w:szCs w:val="16"/>
              </w:rPr>
            </w:pPr>
            <w:r w:rsidRPr="009E5C8F">
              <w:rPr>
                <w:rFonts w:ascii="Times New Roman" w:hAnsi="Times New Roman" w:cs="Times New Roman"/>
                <w:sz w:val="16"/>
                <w:szCs w:val="16"/>
              </w:rPr>
              <w:t>İdari personelin üstleriyle / amirleriyle olan ilişkileri, üst ve alt kademeler arasında sorunların tartışılma olanakları ve geribildirim süreçlerinden</w:t>
            </w:r>
          </w:p>
        </w:tc>
        <w:tc>
          <w:tcPr>
            <w:tcW w:w="850" w:type="dxa"/>
            <w:shd w:val="clear" w:color="auto" w:fill="E7F9FF"/>
            <w:vAlign w:val="center"/>
          </w:tcPr>
          <w:p w:rsidR="00602C93" w:rsidRPr="00AB102F" w:rsidRDefault="00602C93" w:rsidP="001D7D91">
            <w:pPr>
              <w:jc w:val="center"/>
              <w:rPr>
                <w:rFonts w:ascii="Times New Roman" w:hAnsi="Times New Roman" w:cs="Times New Roman"/>
                <w:b/>
                <w:color w:val="00B050"/>
                <w:sz w:val="20"/>
                <w:szCs w:val="20"/>
              </w:rPr>
            </w:pPr>
            <w:r w:rsidRPr="00AB102F">
              <w:rPr>
                <w:rFonts w:ascii="Times New Roman" w:hAnsi="Times New Roman" w:cs="Times New Roman"/>
                <w:b/>
                <w:color w:val="00B050"/>
                <w:sz w:val="20"/>
                <w:szCs w:val="20"/>
              </w:rPr>
              <w:t>44,31</w:t>
            </w:r>
          </w:p>
        </w:tc>
        <w:tc>
          <w:tcPr>
            <w:tcW w:w="709" w:type="dxa"/>
            <w:vAlign w:val="center"/>
          </w:tcPr>
          <w:p w:rsidR="00602C93" w:rsidRPr="00C371C8" w:rsidRDefault="00602C93" w:rsidP="001D7D91">
            <w:pPr>
              <w:jc w:val="center"/>
              <w:rPr>
                <w:rFonts w:ascii="Times New Roman" w:hAnsi="Times New Roman" w:cs="Times New Roman"/>
                <w:sz w:val="18"/>
                <w:szCs w:val="18"/>
              </w:rPr>
            </w:pPr>
            <w:r w:rsidRPr="00C371C8">
              <w:rPr>
                <w:rFonts w:ascii="Times New Roman" w:hAnsi="Times New Roman" w:cs="Times New Roman"/>
                <w:sz w:val="18"/>
                <w:szCs w:val="18"/>
              </w:rPr>
              <w:t>26,95</w:t>
            </w:r>
          </w:p>
        </w:tc>
        <w:tc>
          <w:tcPr>
            <w:tcW w:w="1134" w:type="dxa"/>
            <w:shd w:val="clear" w:color="auto" w:fill="FCEEE4"/>
            <w:vAlign w:val="center"/>
          </w:tcPr>
          <w:p w:rsidR="00602C93" w:rsidRPr="00281CCD" w:rsidRDefault="00602C93" w:rsidP="001D7D91">
            <w:pPr>
              <w:jc w:val="center"/>
              <w:rPr>
                <w:rFonts w:ascii="Times New Roman" w:hAnsi="Times New Roman" w:cs="Times New Roman"/>
                <w:color w:val="FF0000"/>
                <w:sz w:val="18"/>
                <w:szCs w:val="18"/>
              </w:rPr>
            </w:pPr>
            <w:r w:rsidRPr="00281CCD">
              <w:rPr>
                <w:rFonts w:ascii="Times New Roman" w:hAnsi="Times New Roman" w:cs="Times New Roman"/>
                <w:color w:val="FF0000"/>
                <w:sz w:val="18"/>
                <w:szCs w:val="18"/>
              </w:rPr>
              <w:t>28,74</w:t>
            </w:r>
          </w:p>
        </w:tc>
      </w:tr>
      <w:tr w:rsidR="00521097" w:rsidRPr="009E5C8F" w:rsidTr="00D55797">
        <w:tc>
          <w:tcPr>
            <w:tcW w:w="455" w:type="dxa"/>
            <w:vAlign w:val="center"/>
          </w:tcPr>
          <w:p w:rsidR="00602C93" w:rsidRPr="009E5C8F" w:rsidRDefault="00602C93" w:rsidP="00B83946">
            <w:pPr>
              <w:spacing w:before="60" w:after="60"/>
              <w:jc w:val="center"/>
              <w:rPr>
                <w:rFonts w:ascii="Times New Roman" w:hAnsi="Times New Roman" w:cs="Times New Roman"/>
                <w:sz w:val="16"/>
                <w:szCs w:val="16"/>
              </w:rPr>
            </w:pPr>
            <w:r w:rsidRPr="009E5C8F">
              <w:rPr>
                <w:rFonts w:ascii="Times New Roman" w:hAnsi="Times New Roman" w:cs="Times New Roman"/>
                <w:sz w:val="16"/>
                <w:szCs w:val="16"/>
              </w:rPr>
              <w:t>27</w:t>
            </w:r>
          </w:p>
        </w:tc>
        <w:tc>
          <w:tcPr>
            <w:tcW w:w="8222" w:type="dxa"/>
          </w:tcPr>
          <w:p w:rsidR="00602C93" w:rsidRPr="009E5C8F" w:rsidRDefault="00602C93" w:rsidP="00602C93">
            <w:pPr>
              <w:spacing w:before="60" w:after="60"/>
              <w:jc w:val="both"/>
              <w:rPr>
                <w:rFonts w:ascii="Times New Roman" w:hAnsi="Times New Roman" w:cs="Times New Roman"/>
                <w:sz w:val="16"/>
                <w:szCs w:val="16"/>
              </w:rPr>
            </w:pPr>
            <w:r w:rsidRPr="009E5C8F">
              <w:rPr>
                <w:rFonts w:ascii="Times New Roman" w:hAnsi="Times New Roman" w:cs="Times New Roman"/>
                <w:sz w:val="16"/>
                <w:szCs w:val="16"/>
              </w:rPr>
              <w:t>Sağlık hizmetleri ve bu amaçla kurulmuş tesislerden</w:t>
            </w:r>
          </w:p>
        </w:tc>
        <w:tc>
          <w:tcPr>
            <w:tcW w:w="850" w:type="dxa"/>
            <w:shd w:val="clear" w:color="auto" w:fill="E7F9FF"/>
            <w:vAlign w:val="center"/>
          </w:tcPr>
          <w:p w:rsidR="00602C93" w:rsidRPr="00AB102F" w:rsidRDefault="00602C93" w:rsidP="001D7D91">
            <w:pPr>
              <w:jc w:val="center"/>
              <w:rPr>
                <w:rFonts w:ascii="Times New Roman" w:hAnsi="Times New Roman" w:cs="Times New Roman"/>
                <w:b/>
                <w:color w:val="00B050"/>
                <w:sz w:val="20"/>
                <w:szCs w:val="20"/>
              </w:rPr>
            </w:pPr>
            <w:r w:rsidRPr="00AB102F">
              <w:rPr>
                <w:rFonts w:ascii="Times New Roman" w:hAnsi="Times New Roman" w:cs="Times New Roman"/>
                <w:b/>
                <w:color w:val="00B050"/>
                <w:sz w:val="20"/>
                <w:szCs w:val="20"/>
              </w:rPr>
              <w:t>45,51</w:t>
            </w:r>
          </w:p>
        </w:tc>
        <w:tc>
          <w:tcPr>
            <w:tcW w:w="709" w:type="dxa"/>
            <w:vAlign w:val="center"/>
          </w:tcPr>
          <w:p w:rsidR="00602C93" w:rsidRPr="00C371C8" w:rsidRDefault="00602C93" w:rsidP="001D7D91">
            <w:pPr>
              <w:jc w:val="center"/>
              <w:rPr>
                <w:rFonts w:ascii="Times New Roman" w:hAnsi="Times New Roman" w:cs="Times New Roman"/>
                <w:sz w:val="18"/>
                <w:szCs w:val="18"/>
              </w:rPr>
            </w:pPr>
            <w:r w:rsidRPr="00C371C8">
              <w:rPr>
                <w:rFonts w:ascii="Times New Roman" w:hAnsi="Times New Roman" w:cs="Times New Roman"/>
                <w:sz w:val="18"/>
                <w:szCs w:val="18"/>
              </w:rPr>
              <w:t>32,34</w:t>
            </w:r>
          </w:p>
        </w:tc>
        <w:tc>
          <w:tcPr>
            <w:tcW w:w="1134" w:type="dxa"/>
            <w:shd w:val="clear" w:color="auto" w:fill="FCEEE4"/>
            <w:vAlign w:val="center"/>
          </w:tcPr>
          <w:p w:rsidR="00602C93" w:rsidRPr="00281CCD" w:rsidRDefault="00602C93" w:rsidP="001D7D91">
            <w:pPr>
              <w:jc w:val="center"/>
              <w:rPr>
                <w:rFonts w:ascii="Times New Roman" w:hAnsi="Times New Roman" w:cs="Times New Roman"/>
                <w:color w:val="FF0000"/>
                <w:sz w:val="18"/>
                <w:szCs w:val="18"/>
              </w:rPr>
            </w:pPr>
            <w:r w:rsidRPr="00281CCD">
              <w:rPr>
                <w:rFonts w:ascii="Times New Roman" w:hAnsi="Times New Roman" w:cs="Times New Roman"/>
                <w:color w:val="FF0000"/>
                <w:sz w:val="18"/>
                <w:szCs w:val="18"/>
              </w:rPr>
              <w:t>22,15</w:t>
            </w:r>
          </w:p>
        </w:tc>
      </w:tr>
      <w:tr w:rsidR="00521097" w:rsidRPr="009E5C8F" w:rsidTr="00D55797">
        <w:tc>
          <w:tcPr>
            <w:tcW w:w="455" w:type="dxa"/>
            <w:vAlign w:val="center"/>
          </w:tcPr>
          <w:p w:rsidR="00602C93" w:rsidRPr="009E5C8F" w:rsidRDefault="00602C93" w:rsidP="00B83946">
            <w:pPr>
              <w:spacing w:before="60" w:after="60"/>
              <w:jc w:val="center"/>
              <w:rPr>
                <w:rFonts w:ascii="Times New Roman" w:hAnsi="Times New Roman" w:cs="Times New Roman"/>
                <w:sz w:val="16"/>
                <w:szCs w:val="16"/>
              </w:rPr>
            </w:pPr>
            <w:r w:rsidRPr="009E5C8F">
              <w:rPr>
                <w:rFonts w:ascii="Times New Roman" w:hAnsi="Times New Roman" w:cs="Times New Roman"/>
                <w:sz w:val="16"/>
                <w:szCs w:val="16"/>
              </w:rPr>
              <w:t>28</w:t>
            </w:r>
          </w:p>
        </w:tc>
        <w:tc>
          <w:tcPr>
            <w:tcW w:w="8222" w:type="dxa"/>
          </w:tcPr>
          <w:p w:rsidR="00602C93" w:rsidRPr="009E5C8F" w:rsidRDefault="00602C93" w:rsidP="00602C93">
            <w:pPr>
              <w:spacing w:before="60" w:after="60"/>
              <w:jc w:val="both"/>
              <w:rPr>
                <w:rFonts w:ascii="Times New Roman" w:hAnsi="Times New Roman" w:cs="Times New Roman"/>
                <w:sz w:val="16"/>
                <w:szCs w:val="16"/>
              </w:rPr>
            </w:pPr>
            <w:r w:rsidRPr="009E5C8F">
              <w:rPr>
                <w:rFonts w:ascii="Times New Roman" w:hAnsi="Times New Roman" w:cs="Times New Roman"/>
                <w:sz w:val="16"/>
                <w:szCs w:val="16"/>
              </w:rPr>
              <w:t>Kültür ve sanat etkinlikleri ile bu amaçla kurulmuş tesislerden</w:t>
            </w:r>
          </w:p>
        </w:tc>
        <w:tc>
          <w:tcPr>
            <w:tcW w:w="850" w:type="dxa"/>
            <w:shd w:val="clear" w:color="auto" w:fill="E7F9FF"/>
            <w:vAlign w:val="center"/>
          </w:tcPr>
          <w:p w:rsidR="00602C93" w:rsidRPr="005E07AC" w:rsidRDefault="00602C93" w:rsidP="001D7D91">
            <w:pPr>
              <w:jc w:val="center"/>
              <w:rPr>
                <w:rFonts w:ascii="Times New Roman" w:hAnsi="Times New Roman" w:cs="Times New Roman"/>
                <w:b/>
                <w:color w:val="00B050"/>
                <w:sz w:val="20"/>
                <w:szCs w:val="20"/>
              </w:rPr>
            </w:pPr>
            <w:r w:rsidRPr="005E07AC">
              <w:rPr>
                <w:rFonts w:ascii="Times New Roman" w:hAnsi="Times New Roman" w:cs="Times New Roman"/>
                <w:b/>
                <w:color w:val="00B050"/>
                <w:sz w:val="20"/>
                <w:szCs w:val="20"/>
              </w:rPr>
              <w:t>46,11</w:t>
            </w:r>
          </w:p>
        </w:tc>
        <w:tc>
          <w:tcPr>
            <w:tcW w:w="709" w:type="dxa"/>
            <w:vAlign w:val="center"/>
          </w:tcPr>
          <w:p w:rsidR="00602C93" w:rsidRPr="00C371C8" w:rsidRDefault="00602C93" w:rsidP="001D7D91">
            <w:pPr>
              <w:jc w:val="center"/>
              <w:rPr>
                <w:rFonts w:ascii="Times New Roman" w:hAnsi="Times New Roman" w:cs="Times New Roman"/>
                <w:sz w:val="18"/>
                <w:szCs w:val="18"/>
              </w:rPr>
            </w:pPr>
            <w:r w:rsidRPr="00C371C8">
              <w:rPr>
                <w:rFonts w:ascii="Times New Roman" w:hAnsi="Times New Roman" w:cs="Times New Roman"/>
                <w:sz w:val="18"/>
                <w:szCs w:val="18"/>
              </w:rPr>
              <w:t>37,13</w:t>
            </w:r>
          </w:p>
        </w:tc>
        <w:tc>
          <w:tcPr>
            <w:tcW w:w="1134" w:type="dxa"/>
            <w:shd w:val="clear" w:color="auto" w:fill="FCEEE4"/>
            <w:vAlign w:val="center"/>
          </w:tcPr>
          <w:p w:rsidR="00602C93" w:rsidRPr="00281CCD" w:rsidRDefault="00602C93" w:rsidP="001D7D91">
            <w:pPr>
              <w:jc w:val="center"/>
              <w:rPr>
                <w:rFonts w:ascii="Times New Roman" w:hAnsi="Times New Roman" w:cs="Times New Roman"/>
                <w:color w:val="FF0000"/>
                <w:sz w:val="18"/>
                <w:szCs w:val="18"/>
              </w:rPr>
            </w:pPr>
            <w:r w:rsidRPr="00281CCD">
              <w:rPr>
                <w:rFonts w:ascii="Times New Roman" w:hAnsi="Times New Roman" w:cs="Times New Roman"/>
                <w:color w:val="FF0000"/>
                <w:sz w:val="18"/>
                <w:szCs w:val="18"/>
              </w:rPr>
              <w:t>16,76</w:t>
            </w:r>
          </w:p>
        </w:tc>
      </w:tr>
      <w:tr w:rsidR="00521097" w:rsidRPr="009E5C8F" w:rsidTr="00D55797">
        <w:tc>
          <w:tcPr>
            <w:tcW w:w="455" w:type="dxa"/>
            <w:vAlign w:val="center"/>
          </w:tcPr>
          <w:p w:rsidR="00602C93" w:rsidRPr="009E5C8F" w:rsidRDefault="00602C93" w:rsidP="00B83946">
            <w:pPr>
              <w:spacing w:before="60" w:after="60"/>
              <w:jc w:val="center"/>
              <w:rPr>
                <w:rFonts w:ascii="Times New Roman" w:hAnsi="Times New Roman" w:cs="Times New Roman"/>
                <w:sz w:val="16"/>
                <w:szCs w:val="16"/>
              </w:rPr>
            </w:pPr>
            <w:r w:rsidRPr="009E5C8F">
              <w:rPr>
                <w:rFonts w:ascii="Times New Roman" w:hAnsi="Times New Roman" w:cs="Times New Roman"/>
                <w:sz w:val="16"/>
                <w:szCs w:val="16"/>
              </w:rPr>
              <w:t>29</w:t>
            </w:r>
          </w:p>
        </w:tc>
        <w:tc>
          <w:tcPr>
            <w:tcW w:w="8222" w:type="dxa"/>
          </w:tcPr>
          <w:p w:rsidR="00602C93" w:rsidRPr="009E5C8F" w:rsidRDefault="00602C93" w:rsidP="00602C93">
            <w:pPr>
              <w:spacing w:before="60" w:after="60"/>
              <w:jc w:val="both"/>
              <w:rPr>
                <w:rFonts w:ascii="Times New Roman" w:hAnsi="Times New Roman" w:cs="Times New Roman"/>
                <w:sz w:val="16"/>
                <w:szCs w:val="16"/>
              </w:rPr>
            </w:pPr>
            <w:r w:rsidRPr="009E5C8F">
              <w:rPr>
                <w:rFonts w:ascii="Times New Roman" w:hAnsi="Times New Roman" w:cs="Times New Roman"/>
                <w:sz w:val="16"/>
                <w:szCs w:val="16"/>
              </w:rPr>
              <w:t>Sportif faaliyetler ve bu amaçla kurulmuş tesislerden</w:t>
            </w:r>
          </w:p>
        </w:tc>
        <w:tc>
          <w:tcPr>
            <w:tcW w:w="850" w:type="dxa"/>
            <w:shd w:val="clear" w:color="auto" w:fill="E7F9FF"/>
            <w:vAlign w:val="center"/>
          </w:tcPr>
          <w:p w:rsidR="00602C93" w:rsidRPr="009E164C" w:rsidRDefault="00602C93" w:rsidP="001D7D91">
            <w:pPr>
              <w:jc w:val="center"/>
              <w:rPr>
                <w:rFonts w:ascii="Times New Roman" w:hAnsi="Times New Roman" w:cs="Times New Roman"/>
                <w:b/>
                <w:color w:val="00B050"/>
                <w:sz w:val="20"/>
                <w:szCs w:val="20"/>
              </w:rPr>
            </w:pPr>
            <w:r w:rsidRPr="009E164C">
              <w:rPr>
                <w:rFonts w:ascii="Times New Roman" w:hAnsi="Times New Roman" w:cs="Times New Roman"/>
                <w:b/>
                <w:color w:val="00B050"/>
                <w:sz w:val="20"/>
                <w:szCs w:val="20"/>
              </w:rPr>
              <w:t>52,10</w:t>
            </w:r>
          </w:p>
        </w:tc>
        <w:tc>
          <w:tcPr>
            <w:tcW w:w="709" w:type="dxa"/>
            <w:vAlign w:val="center"/>
          </w:tcPr>
          <w:p w:rsidR="00602C93" w:rsidRPr="00C371C8" w:rsidRDefault="00602C93" w:rsidP="001D7D91">
            <w:pPr>
              <w:jc w:val="center"/>
              <w:rPr>
                <w:rFonts w:ascii="Times New Roman" w:hAnsi="Times New Roman" w:cs="Times New Roman"/>
                <w:sz w:val="18"/>
                <w:szCs w:val="18"/>
              </w:rPr>
            </w:pPr>
            <w:r w:rsidRPr="00C371C8">
              <w:rPr>
                <w:rFonts w:ascii="Times New Roman" w:hAnsi="Times New Roman" w:cs="Times New Roman"/>
                <w:sz w:val="18"/>
                <w:szCs w:val="18"/>
              </w:rPr>
              <w:t>32,93</w:t>
            </w:r>
          </w:p>
        </w:tc>
        <w:tc>
          <w:tcPr>
            <w:tcW w:w="1134" w:type="dxa"/>
            <w:shd w:val="clear" w:color="auto" w:fill="FCEEE4"/>
            <w:vAlign w:val="center"/>
          </w:tcPr>
          <w:p w:rsidR="00602C93" w:rsidRPr="00281CCD" w:rsidRDefault="00602C93" w:rsidP="001D7D91">
            <w:pPr>
              <w:jc w:val="center"/>
              <w:rPr>
                <w:rFonts w:ascii="Times New Roman" w:hAnsi="Times New Roman" w:cs="Times New Roman"/>
                <w:color w:val="FF0000"/>
                <w:sz w:val="18"/>
                <w:szCs w:val="18"/>
              </w:rPr>
            </w:pPr>
            <w:r w:rsidRPr="00281CCD">
              <w:rPr>
                <w:rFonts w:ascii="Times New Roman" w:hAnsi="Times New Roman" w:cs="Times New Roman"/>
                <w:color w:val="FF0000"/>
                <w:sz w:val="18"/>
                <w:szCs w:val="18"/>
              </w:rPr>
              <w:t>14,97</w:t>
            </w:r>
          </w:p>
        </w:tc>
      </w:tr>
      <w:tr w:rsidR="00521097" w:rsidRPr="009E5C8F" w:rsidTr="00D55797">
        <w:tc>
          <w:tcPr>
            <w:tcW w:w="455" w:type="dxa"/>
            <w:vAlign w:val="center"/>
          </w:tcPr>
          <w:p w:rsidR="00602C93" w:rsidRPr="009E5C8F" w:rsidRDefault="00602C93" w:rsidP="00B83946">
            <w:pPr>
              <w:spacing w:before="60" w:after="60"/>
              <w:jc w:val="center"/>
              <w:rPr>
                <w:rFonts w:ascii="Times New Roman" w:hAnsi="Times New Roman" w:cs="Times New Roman"/>
                <w:sz w:val="16"/>
                <w:szCs w:val="16"/>
              </w:rPr>
            </w:pPr>
            <w:r w:rsidRPr="009E5C8F">
              <w:rPr>
                <w:rFonts w:ascii="Times New Roman" w:hAnsi="Times New Roman" w:cs="Times New Roman"/>
                <w:sz w:val="16"/>
                <w:szCs w:val="16"/>
              </w:rPr>
              <w:t>30</w:t>
            </w:r>
          </w:p>
        </w:tc>
        <w:tc>
          <w:tcPr>
            <w:tcW w:w="8222" w:type="dxa"/>
          </w:tcPr>
          <w:p w:rsidR="00602C93" w:rsidRPr="009E5C8F" w:rsidRDefault="00602C93" w:rsidP="00602C93">
            <w:pPr>
              <w:spacing w:before="60" w:after="60"/>
              <w:jc w:val="both"/>
              <w:rPr>
                <w:rFonts w:ascii="Times New Roman" w:hAnsi="Times New Roman" w:cs="Times New Roman"/>
                <w:sz w:val="16"/>
                <w:szCs w:val="16"/>
              </w:rPr>
            </w:pPr>
            <w:r w:rsidRPr="009E5C8F">
              <w:rPr>
                <w:rFonts w:ascii="Times New Roman" w:hAnsi="Times New Roman" w:cs="Times New Roman"/>
                <w:sz w:val="16"/>
                <w:szCs w:val="16"/>
              </w:rPr>
              <w:t>Kampüs alanının genel temizliğinden</w:t>
            </w:r>
          </w:p>
        </w:tc>
        <w:tc>
          <w:tcPr>
            <w:tcW w:w="850" w:type="dxa"/>
            <w:shd w:val="clear" w:color="auto" w:fill="E7F9FF"/>
            <w:vAlign w:val="center"/>
          </w:tcPr>
          <w:p w:rsidR="00602C93" w:rsidRPr="009E164C" w:rsidRDefault="00602C93" w:rsidP="001D7D91">
            <w:pPr>
              <w:jc w:val="center"/>
              <w:rPr>
                <w:rFonts w:ascii="Times New Roman" w:hAnsi="Times New Roman" w:cs="Times New Roman"/>
                <w:b/>
                <w:color w:val="00B050"/>
                <w:sz w:val="20"/>
                <w:szCs w:val="20"/>
              </w:rPr>
            </w:pPr>
            <w:r w:rsidRPr="009E164C">
              <w:rPr>
                <w:rFonts w:ascii="Times New Roman" w:hAnsi="Times New Roman" w:cs="Times New Roman"/>
                <w:b/>
                <w:color w:val="00B050"/>
                <w:sz w:val="20"/>
                <w:szCs w:val="20"/>
              </w:rPr>
              <w:t>67,06</w:t>
            </w:r>
          </w:p>
        </w:tc>
        <w:tc>
          <w:tcPr>
            <w:tcW w:w="709" w:type="dxa"/>
            <w:vAlign w:val="center"/>
          </w:tcPr>
          <w:p w:rsidR="00602C93" w:rsidRPr="00C371C8" w:rsidRDefault="00602C93" w:rsidP="001D7D91">
            <w:pPr>
              <w:jc w:val="center"/>
              <w:rPr>
                <w:rFonts w:ascii="Times New Roman" w:hAnsi="Times New Roman" w:cs="Times New Roman"/>
                <w:sz w:val="18"/>
                <w:szCs w:val="18"/>
              </w:rPr>
            </w:pPr>
            <w:r w:rsidRPr="00C371C8">
              <w:rPr>
                <w:rFonts w:ascii="Times New Roman" w:hAnsi="Times New Roman" w:cs="Times New Roman"/>
                <w:sz w:val="18"/>
                <w:szCs w:val="18"/>
              </w:rPr>
              <w:t>14,98</w:t>
            </w:r>
          </w:p>
        </w:tc>
        <w:tc>
          <w:tcPr>
            <w:tcW w:w="1134" w:type="dxa"/>
            <w:shd w:val="clear" w:color="auto" w:fill="FCEEE4"/>
            <w:vAlign w:val="center"/>
          </w:tcPr>
          <w:p w:rsidR="00602C93" w:rsidRPr="00281CCD" w:rsidRDefault="00602C93" w:rsidP="001D7D91">
            <w:pPr>
              <w:jc w:val="center"/>
              <w:rPr>
                <w:rFonts w:ascii="Times New Roman" w:hAnsi="Times New Roman" w:cs="Times New Roman"/>
                <w:color w:val="FF0000"/>
                <w:sz w:val="18"/>
                <w:szCs w:val="18"/>
              </w:rPr>
            </w:pPr>
            <w:r w:rsidRPr="00281CCD">
              <w:rPr>
                <w:rFonts w:ascii="Times New Roman" w:hAnsi="Times New Roman" w:cs="Times New Roman"/>
                <w:color w:val="FF0000"/>
                <w:sz w:val="18"/>
                <w:szCs w:val="18"/>
              </w:rPr>
              <w:t>17,96</w:t>
            </w:r>
          </w:p>
        </w:tc>
      </w:tr>
      <w:tr w:rsidR="00521097" w:rsidRPr="009E5C8F" w:rsidTr="00D55797">
        <w:tc>
          <w:tcPr>
            <w:tcW w:w="455" w:type="dxa"/>
            <w:vAlign w:val="center"/>
          </w:tcPr>
          <w:p w:rsidR="00602C93" w:rsidRPr="009E5C8F" w:rsidRDefault="00602C93" w:rsidP="00B83946">
            <w:pPr>
              <w:spacing w:before="60" w:after="60"/>
              <w:jc w:val="center"/>
              <w:rPr>
                <w:rFonts w:ascii="Times New Roman" w:hAnsi="Times New Roman" w:cs="Times New Roman"/>
                <w:sz w:val="16"/>
                <w:szCs w:val="16"/>
              </w:rPr>
            </w:pPr>
            <w:r w:rsidRPr="009E5C8F">
              <w:rPr>
                <w:rFonts w:ascii="Times New Roman" w:hAnsi="Times New Roman" w:cs="Times New Roman"/>
                <w:sz w:val="16"/>
                <w:szCs w:val="16"/>
              </w:rPr>
              <w:t>31</w:t>
            </w:r>
          </w:p>
        </w:tc>
        <w:tc>
          <w:tcPr>
            <w:tcW w:w="8222" w:type="dxa"/>
          </w:tcPr>
          <w:p w:rsidR="00602C93" w:rsidRPr="009E5C8F" w:rsidRDefault="00602C93" w:rsidP="00602C93">
            <w:pPr>
              <w:spacing w:before="60" w:after="60"/>
              <w:jc w:val="both"/>
              <w:rPr>
                <w:rFonts w:ascii="Times New Roman" w:hAnsi="Times New Roman" w:cs="Times New Roman"/>
                <w:sz w:val="16"/>
                <w:szCs w:val="16"/>
              </w:rPr>
            </w:pPr>
            <w:r w:rsidRPr="009E5C8F">
              <w:rPr>
                <w:rFonts w:ascii="Times New Roman" w:hAnsi="Times New Roman" w:cs="Times New Roman"/>
                <w:sz w:val="16"/>
                <w:szCs w:val="16"/>
              </w:rPr>
              <w:t>Binalar ve ofislerin temizliğinden</w:t>
            </w:r>
          </w:p>
        </w:tc>
        <w:tc>
          <w:tcPr>
            <w:tcW w:w="850" w:type="dxa"/>
            <w:shd w:val="clear" w:color="auto" w:fill="E7F9FF"/>
            <w:vAlign w:val="center"/>
          </w:tcPr>
          <w:p w:rsidR="00602C93" w:rsidRPr="009E164C" w:rsidRDefault="00602C93" w:rsidP="001D7D91">
            <w:pPr>
              <w:jc w:val="center"/>
              <w:rPr>
                <w:rFonts w:ascii="Times New Roman" w:hAnsi="Times New Roman" w:cs="Times New Roman"/>
                <w:b/>
                <w:color w:val="00B050"/>
                <w:sz w:val="20"/>
                <w:szCs w:val="20"/>
              </w:rPr>
            </w:pPr>
            <w:r w:rsidRPr="009E164C">
              <w:rPr>
                <w:rFonts w:ascii="Times New Roman" w:hAnsi="Times New Roman" w:cs="Times New Roman"/>
                <w:b/>
                <w:color w:val="00B050"/>
                <w:sz w:val="20"/>
                <w:szCs w:val="20"/>
              </w:rPr>
              <w:t>68,27</w:t>
            </w:r>
          </w:p>
        </w:tc>
        <w:tc>
          <w:tcPr>
            <w:tcW w:w="709" w:type="dxa"/>
            <w:vAlign w:val="center"/>
          </w:tcPr>
          <w:p w:rsidR="00602C93" w:rsidRPr="00C371C8" w:rsidRDefault="00602C93" w:rsidP="001D7D91">
            <w:pPr>
              <w:jc w:val="center"/>
              <w:rPr>
                <w:rFonts w:ascii="Times New Roman" w:hAnsi="Times New Roman" w:cs="Times New Roman"/>
                <w:sz w:val="18"/>
                <w:szCs w:val="18"/>
              </w:rPr>
            </w:pPr>
            <w:r w:rsidRPr="00C371C8">
              <w:rPr>
                <w:rFonts w:ascii="Times New Roman" w:hAnsi="Times New Roman" w:cs="Times New Roman"/>
                <w:sz w:val="18"/>
                <w:szCs w:val="18"/>
              </w:rPr>
              <w:t>13,17</w:t>
            </w:r>
          </w:p>
        </w:tc>
        <w:tc>
          <w:tcPr>
            <w:tcW w:w="1134" w:type="dxa"/>
            <w:shd w:val="clear" w:color="auto" w:fill="FCEEE4"/>
            <w:vAlign w:val="center"/>
          </w:tcPr>
          <w:p w:rsidR="00602C93" w:rsidRPr="00281CCD" w:rsidRDefault="00602C93" w:rsidP="001D7D91">
            <w:pPr>
              <w:jc w:val="center"/>
              <w:rPr>
                <w:rFonts w:ascii="Times New Roman" w:hAnsi="Times New Roman" w:cs="Times New Roman"/>
                <w:color w:val="FF0000"/>
                <w:sz w:val="18"/>
                <w:szCs w:val="18"/>
              </w:rPr>
            </w:pPr>
            <w:r w:rsidRPr="00281CCD">
              <w:rPr>
                <w:rFonts w:ascii="Times New Roman" w:hAnsi="Times New Roman" w:cs="Times New Roman"/>
                <w:color w:val="FF0000"/>
                <w:sz w:val="18"/>
                <w:szCs w:val="18"/>
              </w:rPr>
              <w:t>18,56</w:t>
            </w:r>
          </w:p>
        </w:tc>
      </w:tr>
      <w:tr w:rsidR="00521097" w:rsidRPr="009E5C8F" w:rsidTr="00D55797">
        <w:tc>
          <w:tcPr>
            <w:tcW w:w="455" w:type="dxa"/>
            <w:vAlign w:val="center"/>
          </w:tcPr>
          <w:p w:rsidR="00602C93" w:rsidRPr="009E5C8F" w:rsidRDefault="00602C93" w:rsidP="00B83946">
            <w:pPr>
              <w:spacing w:before="60" w:after="60"/>
              <w:jc w:val="center"/>
              <w:rPr>
                <w:rFonts w:ascii="Times New Roman" w:hAnsi="Times New Roman" w:cs="Times New Roman"/>
                <w:sz w:val="16"/>
                <w:szCs w:val="16"/>
              </w:rPr>
            </w:pPr>
            <w:r w:rsidRPr="009E5C8F">
              <w:rPr>
                <w:rFonts w:ascii="Times New Roman" w:hAnsi="Times New Roman" w:cs="Times New Roman"/>
                <w:sz w:val="16"/>
                <w:szCs w:val="16"/>
              </w:rPr>
              <w:t>32</w:t>
            </w:r>
          </w:p>
        </w:tc>
        <w:tc>
          <w:tcPr>
            <w:tcW w:w="8222" w:type="dxa"/>
          </w:tcPr>
          <w:p w:rsidR="00602C93" w:rsidRPr="009E5C8F" w:rsidRDefault="00602C93" w:rsidP="00602C93">
            <w:pPr>
              <w:spacing w:before="60" w:after="60"/>
              <w:jc w:val="both"/>
              <w:rPr>
                <w:rFonts w:ascii="Times New Roman" w:hAnsi="Times New Roman" w:cs="Times New Roman"/>
                <w:sz w:val="16"/>
                <w:szCs w:val="16"/>
              </w:rPr>
            </w:pPr>
            <w:r w:rsidRPr="009E5C8F">
              <w:rPr>
                <w:rFonts w:ascii="Times New Roman" w:hAnsi="Times New Roman" w:cs="Times New Roman"/>
                <w:sz w:val="16"/>
                <w:szCs w:val="16"/>
              </w:rPr>
              <w:t>Yapım ve onarım hizmetlerinden</w:t>
            </w:r>
          </w:p>
        </w:tc>
        <w:tc>
          <w:tcPr>
            <w:tcW w:w="850" w:type="dxa"/>
            <w:shd w:val="clear" w:color="auto" w:fill="E7F9FF"/>
            <w:vAlign w:val="center"/>
          </w:tcPr>
          <w:p w:rsidR="00602C93" w:rsidRPr="009E164C" w:rsidRDefault="00602C93" w:rsidP="001D7D91">
            <w:pPr>
              <w:jc w:val="center"/>
              <w:rPr>
                <w:rFonts w:ascii="Times New Roman" w:hAnsi="Times New Roman" w:cs="Times New Roman"/>
                <w:b/>
                <w:color w:val="00B050"/>
                <w:sz w:val="20"/>
                <w:szCs w:val="20"/>
              </w:rPr>
            </w:pPr>
            <w:r w:rsidRPr="009E164C">
              <w:rPr>
                <w:rFonts w:ascii="Times New Roman" w:hAnsi="Times New Roman" w:cs="Times New Roman"/>
                <w:b/>
                <w:color w:val="00B050"/>
                <w:sz w:val="20"/>
                <w:szCs w:val="20"/>
              </w:rPr>
              <w:t>53,29</w:t>
            </w:r>
          </w:p>
        </w:tc>
        <w:tc>
          <w:tcPr>
            <w:tcW w:w="709" w:type="dxa"/>
            <w:vAlign w:val="center"/>
          </w:tcPr>
          <w:p w:rsidR="00602C93" w:rsidRPr="00C371C8" w:rsidRDefault="00602C93" w:rsidP="001D7D91">
            <w:pPr>
              <w:jc w:val="center"/>
              <w:rPr>
                <w:rFonts w:ascii="Times New Roman" w:hAnsi="Times New Roman" w:cs="Times New Roman"/>
                <w:sz w:val="18"/>
                <w:szCs w:val="18"/>
              </w:rPr>
            </w:pPr>
            <w:r w:rsidRPr="00C371C8">
              <w:rPr>
                <w:rFonts w:ascii="Times New Roman" w:hAnsi="Times New Roman" w:cs="Times New Roman"/>
                <w:sz w:val="18"/>
                <w:szCs w:val="18"/>
              </w:rPr>
              <w:t>20,95</w:t>
            </w:r>
          </w:p>
        </w:tc>
        <w:tc>
          <w:tcPr>
            <w:tcW w:w="1134" w:type="dxa"/>
            <w:shd w:val="clear" w:color="auto" w:fill="FCEEE4"/>
            <w:vAlign w:val="center"/>
          </w:tcPr>
          <w:p w:rsidR="00602C93" w:rsidRPr="00281CCD" w:rsidRDefault="00602C93" w:rsidP="001D7D91">
            <w:pPr>
              <w:jc w:val="center"/>
              <w:rPr>
                <w:rFonts w:ascii="Times New Roman" w:hAnsi="Times New Roman" w:cs="Times New Roman"/>
                <w:color w:val="FF0000"/>
                <w:sz w:val="18"/>
                <w:szCs w:val="18"/>
              </w:rPr>
            </w:pPr>
            <w:r w:rsidRPr="00281CCD">
              <w:rPr>
                <w:rFonts w:ascii="Times New Roman" w:hAnsi="Times New Roman" w:cs="Times New Roman"/>
                <w:color w:val="FF0000"/>
                <w:sz w:val="18"/>
                <w:szCs w:val="18"/>
              </w:rPr>
              <w:t>25,76</w:t>
            </w:r>
          </w:p>
        </w:tc>
      </w:tr>
      <w:tr w:rsidR="00521097" w:rsidRPr="009E5C8F" w:rsidTr="00D55797">
        <w:tc>
          <w:tcPr>
            <w:tcW w:w="455" w:type="dxa"/>
            <w:vAlign w:val="center"/>
          </w:tcPr>
          <w:p w:rsidR="00602C93" w:rsidRPr="009E5C8F" w:rsidRDefault="00602C93" w:rsidP="00B83946">
            <w:pPr>
              <w:spacing w:before="60" w:after="60"/>
              <w:jc w:val="center"/>
              <w:rPr>
                <w:rFonts w:ascii="Times New Roman" w:hAnsi="Times New Roman" w:cs="Times New Roman"/>
                <w:sz w:val="16"/>
                <w:szCs w:val="16"/>
              </w:rPr>
            </w:pPr>
            <w:r w:rsidRPr="009E5C8F">
              <w:rPr>
                <w:rFonts w:ascii="Times New Roman" w:hAnsi="Times New Roman" w:cs="Times New Roman"/>
                <w:sz w:val="16"/>
                <w:szCs w:val="16"/>
              </w:rPr>
              <w:t>33</w:t>
            </w:r>
          </w:p>
        </w:tc>
        <w:tc>
          <w:tcPr>
            <w:tcW w:w="8222" w:type="dxa"/>
          </w:tcPr>
          <w:p w:rsidR="00602C93" w:rsidRPr="009E5C8F" w:rsidRDefault="00602C93" w:rsidP="00602C93">
            <w:pPr>
              <w:spacing w:before="60" w:after="60"/>
              <w:jc w:val="both"/>
              <w:rPr>
                <w:rFonts w:ascii="Times New Roman" w:hAnsi="Times New Roman" w:cs="Times New Roman"/>
                <w:sz w:val="16"/>
                <w:szCs w:val="16"/>
              </w:rPr>
            </w:pPr>
            <w:r w:rsidRPr="009E5C8F">
              <w:rPr>
                <w:rFonts w:ascii="Times New Roman" w:hAnsi="Times New Roman" w:cs="Times New Roman"/>
                <w:sz w:val="16"/>
                <w:szCs w:val="16"/>
              </w:rPr>
              <w:t>Güvenlik tedbirlerinin (yangın, deprem, güvenlik hizmetleri …) yeterliliğinden</w:t>
            </w:r>
          </w:p>
        </w:tc>
        <w:tc>
          <w:tcPr>
            <w:tcW w:w="850" w:type="dxa"/>
            <w:shd w:val="clear" w:color="auto" w:fill="E7F9FF"/>
            <w:vAlign w:val="center"/>
          </w:tcPr>
          <w:p w:rsidR="00602C93" w:rsidRPr="009E164C" w:rsidRDefault="00602C93" w:rsidP="001D7D91">
            <w:pPr>
              <w:jc w:val="center"/>
              <w:rPr>
                <w:rFonts w:ascii="Times New Roman" w:hAnsi="Times New Roman" w:cs="Times New Roman"/>
                <w:b/>
                <w:color w:val="00B050"/>
                <w:sz w:val="20"/>
                <w:szCs w:val="20"/>
              </w:rPr>
            </w:pPr>
            <w:r w:rsidRPr="009E164C">
              <w:rPr>
                <w:rFonts w:ascii="Times New Roman" w:hAnsi="Times New Roman" w:cs="Times New Roman"/>
                <w:b/>
                <w:color w:val="00B050"/>
                <w:sz w:val="20"/>
                <w:szCs w:val="20"/>
              </w:rPr>
              <w:t>64,08</w:t>
            </w:r>
          </w:p>
        </w:tc>
        <w:tc>
          <w:tcPr>
            <w:tcW w:w="709" w:type="dxa"/>
            <w:vAlign w:val="center"/>
          </w:tcPr>
          <w:p w:rsidR="00602C93" w:rsidRPr="00C371C8" w:rsidRDefault="00602C93" w:rsidP="001D7D91">
            <w:pPr>
              <w:jc w:val="center"/>
              <w:rPr>
                <w:rFonts w:ascii="Times New Roman" w:hAnsi="Times New Roman" w:cs="Times New Roman"/>
                <w:sz w:val="18"/>
                <w:szCs w:val="18"/>
              </w:rPr>
            </w:pPr>
            <w:r w:rsidRPr="00C371C8">
              <w:rPr>
                <w:rFonts w:ascii="Times New Roman" w:hAnsi="Times New Roman" w:cs="Times New Roman"/>
                <w:sz w:val="18"/>
                <w:szCs w:val="18"/>
              </w:rPr>
              <w:t>23,35</w:t>
            </w:r>
          </w:p>
        </w:tc>
        <w:tc>
          <w:tcPr>
            <w:tcW w:w="1134" w:type="dxa"/>
            <w:shd w:val="clear" w:color="auto" w:fill="FCEEE4"/>
            <w:vAlign w:val="center"/>
          </w:tcPr>
          <w:p w:rsidR="00602C93" w:rsidRPr="00281CCD" w:rsidRDefault="00602C93" w:rsidP="001D7D91">
            <w:pPr>
              <w:jc w:val="center"/>
              <w:rPr>
                <w:rFonts w:ascii="Times New Roman" w:hAnsi="Times New Roman" w:cs="Times New Roman"/>
                <w:color w:val="FF0000"/>
                <w:sz w:val="18"/>
                <w:szCs w:val="18"/>
              </w:rPr>
            </w:pPr>
            <w:r w:rsidRPr="00281CCD">
              <w:rPr>
                <w:rFonts w:ascii="Times New Roman" w:hAnsi="Times New Roman" w:cs="Times New Roman"/>
                <w:color w:val="FF0000"/>
                <w:sz w:val="18"/>
                <w:szCs w:val="18"/>
              </w:rPr>
              <w:t>12,57</w:t>
            </w:r>
          </w:p>
        </w:tc>
      </w:tr>
      <w:tr w:rsidR="00521097" w:rsidRPr="009E5C8F" w:rsidTr="00D55797">
        <w:tc>
          <w:tcPr>
            <w:tcW w:w="455" w:type="dxa"/>
            <w:vAlign w:val="center"/>
          </w:tcPr>
          <w:p w:rsidR="00602C93" w:rsidRPr="009E5C8F" w:rsidRDefault="00602C93" w:rsidP="00B83946">
            <w:pPr>
              <w:spacing w:before="60" w:after="60"/>
              <w:jc w:val="center"/>
              <w:rPr>
                <w:rFonts w:ascii="Times New Roman" w:hAnsi="Times New Roman" w:cs="Times New Roman"/>
                <w:sz w:val="16"/>
                <w:szCs w:val="16"/>
              </w:rPr>
            </w:pPr>
            <w:r w:rsidRPr="009E5C8F">
              <w:rPr>
                <w:rFonts w:ascii="Times New Roman" w:hAnsi="Times New Roman" w:cs="Times New Roman"/>
                <w:sz w:val="16"/>
                <w:szCs w:val="16"/>
              </w:rPr>
              <w:t>34</w:t>
            </w:r>
          </w:p>
        </w:tc>
        <w:tc>
          <w:tcPr>
            <w:tcW w:w="8222" w:type="dxa"/>
          </w:tcPr>
          <w:p w:rsidR="00602C93" w:rsidRPr="009E5C8F" w:rsidRDefault="00602C93" w:rsidP="00602C93">
            <w:pPr>
              <w:spacing w:before="60" w:after="60"/>
              <w:jc w:val="both"/>
              <w:rPr>
                <w:rFonts w:ascii="Times New Roman" w:hAnsi="Times New Roman" w:cs="Times New Roman"/>
                <w:sz w:val="16"/>
                <w:szCs w:val="16"/>
              </w:rPr>
            </w:pPr>
            <w:r w:rsidRPr="009E5C8F">
              <w:rPr>
                <w:rFonts w:ascii="Times New Roman" w:hAnsi="Times New Roman" w:cs="Times New Roman"/>
                <w:sz w:val="16"/>
                <w:szCs w:val="16"/>
              </w:rPr>
              <w:t>Servis / ulaşım hizmetlerinden</w:t>
            </w:r>
          </w:p>
        </w:tc>
        <w:tc>
          <w:tcPr>
            <w:tcW w:w="850" w:type="dxa"/>
            <w:shd w:val="clear" w:color="auto" w:fill="E7F9FF"/>
            <w:vAlign w:val="center"/>
          </w:tcPr>
          <w:p w:rsidR="00602C93" w:rsidRPr="009E164C" w:rsidRDefault="00602C93" w:rsidP="001D7D91">
            <w:pPr>
              <w:jc w:val="center"/>
              <w:rPr>
                <w:rFonts w:ascii="Times New Roman" w:hAnsi="Times New Roman" w:cs="Times New Roman"/>
                <w:b/>
                <w:color w:val="00B050"/>
                <w:sz w:val="20"/>
                <w:szCs w:val="20"/>
              </w:rPr>
            </w:pPr>
            <w:r w:rsidRPr="009E164C">
              <w:rPr>
                <w:rFonts w:ascii="Times New Roman" w:hAnsi="Times New Roman" w:cs="Times New Roman"/>
                <w:b/>
                <w:color w:val="00B050"/>
                <w:sz w:val="20"/>
                <w:szCs w:val="20"/>
              </w:rPr>
              <w:t>60,48</w:t>
            </w:r>
          </w:p>
        </w:tc>
        <w:tc>
          <w:tcPr>
            <w:tcW w:w="709" w:type="dxa"/>
            <w:vAlign w:val="center"/>
          </w:tcPr>
          <w:p w:rsidR="00602C93" w:rsidRPr="00C371C8" w:rsidRDefault="00602C93" w:rsidP="001D7D91">
            <w:pPr>
              <w:jc w:val="center"/>
              <w:rPr>
                <w:rFonts w:ascii="Times New Roman" w:hAnsi="Times New Roman" w:cs="Times New Roman"/>
                <w:sz w:val="18"/>
                <w:szCs w:val="18"/>
              </w:rPr>
            </w:pPr>
            <w:r w:rsidRPr="00C371C8">
              <w:rPr>
                <w:rFonts w:ascii="Times New Roman" w:hAnsi="Times New Roman" w:cs="Times New Roman"/>
                <w:sz w:val="18"/>
                <w:szCs w:val="18"/>
              </w:rPr>
              <w:t>18,56</w:t>
            </w:r>
          </w:p>
        </w:tc>
        <w:tc>
          <w:tcPr>
            <w:tcW w:w="1134" w:type="dxa"/>
            <w:shd w:val="clear" w:color="auto" w:fill="FCEEE4"/>
            <w:vAlign w:val="center"/>
          </w:tcPr>
          <w:p w:rsidR="00602C93" w:rsidRPr="00281CCD" w:rsidRDefault="00602C93" w:rsidP="001D7D91">
            <w:pPr>
              <w:jc w:val="center"/>
              <w:rPr>
                <w:rFonts w:ascii="Times New Roman" w:hAnsi="Times New Roman" w:cs="Times New Roman"/>
                <w:color w:val="FF0000"/>
                <w:sz w:val="18"/>
                <w:szCs w:val="18"/>
              </w:rPr>
            </w:pPr>
            <w:r w:rsidRPr="00281CCD">
              <w:rPr>
                <w:rFonts w:ascii="Times New Roman" w:hAnsi="Times New Roman" w:cs="Times New Roman"/>
                <w:color w:val="FF0000"/>
                <w:sz w:val="18"/>
                <w:szCs w:val="18"/>
              </w:rPr>
              <w:t>20,96</w:t>
            </w:r>
          </w:p>
        </w:tc>
      </w:tr>
      <w:tr w:rsidR="00521097" w:rsidRPr="009E5C8F" w:rsidTr="00D55797">
        <w:tc>
          <w:tcPr>
            <w:tcW w:w="455" w:type="dxa"/>
            <w:vAlign w:val="center"/>
          </w:tcPr>
          <w:p w:rsidR="00602C93" w:rsidRPr="009E5C8F" w:rsidRDefault="00602C93" w:rsidP="00B83946">
            <w:pPr>
              <w:spacing w:before="60" w:after="60"/>
              <w:jc w:val="center"/>
              <w:rPr>
                <w:rFonts w:ascii="Times New Roman" w:hAnsi="Times New Roman" w:cs="Times New Roman"/>
                <w:sz w:val="16"/>
                <w:szCs w:val="16"/>
              </w:rPr>
            </w:pPr>
            <w:r w:rsidRPr="009E5C8F">
              <w:rPr>
                <w:rFonts w:ascii="Times New Roman" w:hAnsi="Times New Roman" w:cs="Times New Roman"/>
                <w:sz w:val="16"/>
                <w:szCs w:val="16"/>
              </w:rPr>
              <w:t>35</w:t>
            </w:r>
          </w:p>
        </w:tc>
        <w:tc>
          <w:tcPr>
            <w:tcW w:w="8222" w:type="dxa"/>
          </w:tcPr>
          <w:p w:rsidR="00602C93" w:rsidRPr="009E5C8F" w:rsidRDefault="00602C93" w:rsidP="00602C93">
            <w:pPr>
              <w:spacing w:before="60" w:after="60"/>
              <w:jc w:val="both"/>
              <w:rPr>
                <w:rFonts w:ascii="Times New Roman" w:hAnsi="Times New Roman" w:cs="Times New Roman"/>
                <w:sz w:val="16"/>
                <w:szCs w:val="16"/>
              </w:rPr>
            </w:pPr>
            <w:r w:rsidRPr="009E5C8F">
              <w:rPr>
                <w:rFonts w:ascii="Times New Roman" w:hAnsi="Times New Roman" w:cs="Times New Roman"/>
                <w:sz w:val="16"/>
                <w:szCs w:val="16"/>
              </w:rPr>
              <w:t>Yemekhane, kafeterya ve kantin hizmetlerinden</w:t>
            </w:r>
          </w:p>
        </w:tc>
        <w:tc>
          <w:tcPr>
            <w:tcW w:w="850" w:type="dxa"/>
            <w:shd w:val="clear" w:color="auto" w:fill="E7F9FF"/>
            <w:vAlign w:val="center"/>
          </w:tcPr>
          <w:p w:rsidR="00602C93" w:rsidRPr="009E164C" w:rsidRDefault="00602C93" w:rsidP="001D7D91">
            <w:pPr>
              <w:jc w:val="center"/>
              <w:rPr>
                <w:rFonts w:ascii="Times New Roman" w:hAnsi="Times New Roman" w:cs="Times New Roman"/>
                <w:b/>
                <w:color w:val="00B050"/>
                <w:sz w:val="20"/>
                <w:szCs w:val="20"/>
              </w:rPr>
            </w:pPr>
            <w:r w:rsidRPr="009E164C">
              <w:rPr>
                <w:rFonts w:ascii="Times New Roman" w:hAnsi="Times New Roman" w:cs="Times New Roman"/>
                <w:b/>
                <w:color w:val="00B050"/>
                <w:sz w:val="20"/>
                <w:szCs w:val="20"/>
              </w:rPr>
              <w:t>63,47</w:t>
            </w:r>
          </w:p>
        </w:tc>
        <w:tc>
          <w:tcPr>
            <w:tcW w:w="709" w:type="dxa"/>
            <w:vAlign w:val="center"/>
          </w:tcPr>
          <w:p w:rsidR="00602C93" w:rsidRPr="00C371C8" w:rsidRDefault="00602C93" w:rsidP="001D7D91">
            <w:pPr>
              <w:jc w:val="center"/>
              <w:rPr>
                <w:rFonts w:ascii="Times New Roman" w:hAnsi="Times New Roman" w:cs="Times New Roman"/>
                <w:sz w:val="18"/>
                <w:szCs w:val="18"/>
              </w:rPr>
            </w:pPr>
            <w:r w:rsidRPr="00C371C8">
              <w:rPr>
                <w:rFonts w:ascii="Times New Roman" w:hAnsi="Times New Roman" w:cs="Times New Roman"/>
                <w:sz w:val="18"/>
                <w:szCs w:val="18"/>
              </w:rPr>
              <w:t>16,17</w:t>
            </w:r>
          </w:p>
        </w:tc>
        <w:tc>
          <w:tcPr>
            <w:tcW w:w="1134" w:type="dxa"/>
            <w:shd w:val="clear" w:color="auto" w:fill="FCEEE4"/>
            <w:vAlign w:val="center"/>
          </w:tcPr>
          <w:p w:rsidR="00602C93" w:rsidRPr="00281CCD" w:rsidRDefault="00602C93" w:rsidP="001D7D91">
            <w:pPr>
              <w:jc w:val="center"/>
              <w:rPr>
                <w:rFonts w:ascii="Times New Roman" w:hAnsi="Times New Roman" w:cs="Times New Roman"/>
                <w:color w:val="FF0000"/>
                <w:sz w:val="18"/>
                <w:szCs w:val="18"/>
              </w:rPr>
            </w:pPr>
            <w:r w:rsidRPr="00281CCD">
              <w:rPr>
                <w:rFonts w:ascii="Times New Roman" w:hAnsi="Times New Roman" w:cs="Times New Roman"/>
                <w:color w:val="FF0000"/>
                <w:sz w:val="18"/>
                <w:szCs w:val="18"/>
              </w:rPr>
              <w:t>20,36</w:t>
            </w:r>
          </w:p>
        </w:tc>
      </w:tr>
      <w:tr w:rsidR="00521097" w:rsidRPr="009E5C8F" w:rsidTr="00D55797">
        <w:tc>
          <w:tcPr>
            <w:tcW w:w="455" w:type="dxa"/>
            <w:vAlign w:val="center"/>
          </w:tcPr>
          <w:p w:rsidR="00602C93" w:rsidRPr="009E5C8F" w:rsidRDefault="00602C93" w:rsidP="00B83946">
            <w:pPr>
              <w:spacing w:before="60" w:after="60"/>
              <w:jc w:val="center"/>
              <w:rPr>
                <w:rFonts w:ascii="Times New Roman" w:hAnsi="Times New Roman" w:cs="Times New Roman"/>
                <w:sz w:val="16"/>
                <w:szCs w:val="16"/>
              </w:rPr>
            </w:pPr>
            <w:r w:rsidRPr="009E5C8F">
              <w:rPr>
                <w:rFonts w:ascii="Times New Roman" w:hAnsi="Times New Roman" w:cs="Times New Roman"/>
                <w:sz w:val="16"/>
                <w:szCs w:val="16"/>
              </w:rPr>
              <w:t>36</w:t>
            </w:r>
          </w:p>
        </w:tc>
        <w:tc>
          <w:tcPr>
            <w:tcW w:w="8222" w:type="dxa"/>
          </w:tcPr>
          <w:p w:rsidR="00602C93" w:rsidRPr="009E5C8F" w:rsidRDefault="00602C93" w:rsidP="00602C93">
            <w:pPr>
              <w:spacing w:before="60" w:after="60"/>
              <w:jc w:val="both"/>
              <w:rPr>
                <w:rFonts w:ascii="Times New Roman" w:hAnsi="Times New Roman" w:cs="Times New Roman"/>
                <w:sz w:val="16"/>
                <w:szCs w:val="16"/>
              </w:rPr>
            </w:pPr>
            <w:r w:rsidRPr="009E5C8F">
              <w:rPr>
                <w:rFonts w:ascii="Times New Roman" w:hAnsi="Times New Roman" w:cs="Times New Roman"/>
                <w:sz w:val="16"/>
                <w:szCs w:val="16"/>
              </w:rPr>
              <w:t>İnternet, bilgi işlem ve öğrenci/akademisyen bilgi sistemi hizmetlerinden</w:t>
            </w:r>
          </w:p>
        </w:tc>
        <w:tc>
          <w:tcPr>
            <w:tcW w:w="850" w:type="dxa"/>
            <w:shd w:val="clear" w:color="auto" w:fill="E7F9FF"/>
            <w:vAlign w:val="center"/>
          </w:tcPr>
          <w:p w:rsidR="00602C93" w:rsidRPr="009E164C" w:rsidRDefault="00602C93" w:rsidP="001D7D91">
            <w:pPr>
              <w:jc w:val="center"/>
              <w:rPr>
                <w:rFonts w:ascii="Times New Roman" w:hAnsi="Times New Roman" w:cs="Times New Roman"/>
                <w:b/>
                <w:color w:val="00B050"/>
                <w:sz w:val="20"/>
                <w:szCs w:val="20"/>
              </w:rPr>
            </w:pPr>
            <w:r w:rsidRPr="009E164C">
              <w:rPr>
                <w:rFonts w:ascii="Times New Roman" w:hAnsi="Times New Roman" w:cs="Times New Roman"/>
                <w:b/>
                <w:color w:val="00B050"/>
                <w:sz w:val="20"/>
                <w:szCs w:val="20"/>
              </w:rPr>
              <w:t>77,25</w:t>
            </w:r>
          </w:p>
        </w:tc>
        <w:tc>
          <w:tcPr>
            <w:tcW w:w="709" w:type="dxa"/>
            <w:vAlign w:val="center"/>
          </w:tcPr>
          <w:p w:rsidR="00602C93" w:rsidRPr="00C371C8" w:rsidRDefault="00602C93" w:rsidP="001D7D91">
            <w:pPr>
              <w:jc w:val="center"/>
              <w:rPr>
                <w:rFonts w:ascii="Times New Roman" w:hAnsi="Times New Roman" w:cs="Times New Roman"/>
                <w:sz w:val="18"/>
                <w:szCs w:val="18"/>
              </w:rPr>
            </w:pPr>
            <w:r w:rsidRPr="00C371C8">
              <w:rPr>
                <w:rFonts w:ascii="Times New Roman" w:hAnsi="Times New Roman" w:cs="Times New Roman"/>
                <w:sz w:val="18"/>
                <w:szCs w:val="18"/>
              </w:rPr>
              <w:t>18,56</w:t>
            </w:r>
          </w:p>
        </w:tc>
        <w:tc>
          <w:tcPr>
            <w:tcW w:w="1134" w:type="dxa"/>
            <w:shd w:val="clear" w:color="auto" w:fill="FCEEE4"/>
            <w:vAlign w:val="center"/>
          </w:tcPr>
          <w:p w:rsidR="00602C93" w:rsidRPr="00281CCD" w:rsidRDefault="00602C93" w:rsidP="001D7D91">
            <w:pPr>
              <w:jc w:val="center"/>
              <w:rPr>
                <w:rFonts w:ascii="Times New Roman" w:hAnsi="Times New Roman" w:cs="Times New Roman"/>
                <w:color w:val="FF0000"/>
                <w:sz w:val="18"/>
                <w:szCs w:val="18"/>
              </w:rPr>
            </w:pPr>
            <w:r w:rsidRPr="00281CCD">
              <w:rPr>
                <w:rFonts w:ascii="Times New Roman" w:hAnsi="Times New Roman" w:cs="Times New Roman"/>
                <w:color w:val="FF0000"/>
                <w:sz w:val="18"/>
                <w:szCs w:val="18"/>
              </w:rPr>
              <w:t>4,19</w:t>
            </w:r>
          </w:p>
        </w:tc>
      </w:tr>
      <w:tr w:rsidR="007A4818" w:rsidRPr="009E5C8F" w:rsidTr="00D55797">
        <w:trPr>
          <w:trHeight w:val="168"/>
        </w:trPr>
        <w:tc>
          <w:tcPr>
            <w:tcW w:w="455" w:type="dxa"/>
            <w:shd w:val="clear" w:color="auto" w:fill="D9D9D9" w:themeFill="background1" w:themeFillShade="D9"/>
            <w:vAlign w:val="center"/>
          </w:tcPr>
          <w:p w:rsidR="00602C93" w:rsidRPr="0035497F" w:rsidRDefault="00602C93" w:rsidP="00B83946">
            <w:pPr>
              <w:spacing w:before="60" w:after="60"/>
              <w:jc w:val="center"/>
              <w:rPr>
                <w:rFonts w:ascii="Times New Roman" w:hAnsi="Times New Roman" w:cs="Times New Roman"/>
                <w:b/>
                <w:sz w:val="20"/>
                <w:szCs w:val="20"/>
              </w:rPr>
            </w:pPr>
            <w:r w:rsidRPr="0035497F">
              <w:rPr>
                <w:rFonts w:ascii="Times New Roman" w:hAnsi="Times New Roman" w:cs="Times New Roman"/>
                <w:b/>
                <w:sz w:val="20"/>
                <w:szCs w:val="20"/>
              </w:rPr>
              <w:t>37</w:t>
            </w:r>
          </w:p>
        </w:tc>
        <w:tc>
          <w:tcPr>
            <w:tcW w:w="8222" w:type="dxa"/>
            <w:shd w:val="clear" w:color="auto" w:fill="D9D9D9" w:themeFill="background1" w:themeFillShade="D9"/>
            <w:vAlign w:val="center"/>
          </w:tcPr>
          <w:p w:rsidR="00602C93" w:rsidRPr="0035497F" w:rsidRDefault="00602C93" w:rsidP="00EC00F0">
            <w:pPr>
              <w:spacing w:before="60" w:after="60"/>
              <w:rPr>
                <w:rFonts w:ascii="Times New Roman" w:hAnsi="Times New Roman" w:cs="Times New Roman"/>
                <w:b/>
                <w:sz w:val="20"/>
                <w:szCs w:val="20"/>
              </w:rPr>
            </w:pPr>
            <w:r w:rsidRPr="0035497F">
              <w:rPr>
                <w:rFonts w:ascii="Times New Roman" w:hAnsi="Times New Roman" w:cs="Times New Roman"/>
                <w:b/>
                <w:sz w:val="20"/>
                <w:szCs w:val="20"/>
              </w:rPr>
              <w:t>Yurtiçi ve yurtdışı değişim programlarının (</w:t>
            </w:r>
            <w:proofErr w:type="spellStart"/>
            <w:r w:rsidRPr="0035497F">
              <w:rPr>
                <w:rFonts w:ascii="Times New Roman" w:hAnsi="Times New Roman" w:cs="Times New Roman"/>
                <w:b/>
                <w:sz w:val="20"/>
                <w:szCs w:val="20"/>
              </w:rPr>
              <w:t>Erasmus</w:t>
            </w:r>
            <w:proofErr w:type="spellEnd"/>
            <w:r w:rsidRPr="0035497F">
              <w:rPr>
                <w:rFonts w:ascii="Times New Roman" w:hAnsi="Times New Roman" w:cs="Times New Roman"/>
                <w:b/>
                <w:sz w:val="20"/>
                <w:szCs w:val="20"/>
              </w:rPr>
              <w:t>, Mevlana gibi) yeterliliğinden</w:t>
            </w:r>
          </w:p>
        </w:tc>
        <w:tc>
          <w:tcPr>
            <w:tcW w:w="850" w:type="dxa"/>
            <w:shd w:val="clear" w:color="auto" w:fill="E7F9FF"/>
            <w:vAlign w:val="center"/>
          </w:tcPr>
          <w:p w:rsidR="00602C93" w:rsidRPr="00281CCD" w:rsidRDefault="00602C93" w:rsidP="001D7D91">
            <w:pPr>
              <w:jc w:val="center"/>
              <w:rPr>
                <w:rFonts w:ascii="Times New Roman" w:hAnsi="Times New Roman" w:cs="Times New Roman"/>
                <w:color w:val="00B050"/>
                <w:sz w:val="18"/>
                <w:szCs w:val="18"/>
              </w:rPr>
            </w:pPr>
            <w:r w:rsidRPr="00281CCD">
              <w:rPr>
                <w:rFonts w:ascii="Times New Roman" w:hAnsi="Times New Roman" w:cs="Times New Roman"/>
                <w:color w:val="00B050"/>
                <w:sz w:val="18"/>
                <w:szCs w:val="18"/>
              </w:rPr>
              <w:t>39,52</w:t>
            </w:r>
          </w:p>
        </w:tc>
        <w:tc>
          <w:tcPr>
            <w:tcW w:w="709" w:type="dxa"/>
            <w:shd w:val="clear" w:color="auto" w:fill="DCC5ED"/>
            <w:vAlign w:val="center"/>
          </w:tcPr>
          <w:p w:rsidR="00602C93" w:rsidRPr="009E164C" w:rsidRDefault="00602C93" w:rsidP="001D7D91">
            <w:pPr>
              <w:jc w:val="center"/>
              <w:rPr>
                <w:rFonts w:ascii="Times New Roman" w:hAnsi="Times New Roman" w:cs="Times New Roman"/>
                <w:b/>
                <w:sz w:val="20"/>
                <w:szCs w:val="20"/>
              </w:rPr>
            </w:pPr>
            <w:r w:rsidRPr="009E164C">
              <w:rPr>
                <w:rFonts w:ascii="Times New Roman" w:hAnsi="Times New Roman" w:cs="Times New Roman"/>
                <w:b/>
                <w:sz w:val="20"/>
                <w:szCs w:val="20"/>
              </w:rPr>
              <w:t>52,10</w:t>
            </w:r>
          </w:p>
        </w:tc>
        <w:tc>
          <w:tcPr>
            <w:tcW w:w="1134" w:type="dxa"/>
            <w:shd w:val="clear" w:color="auto" w:fill="FCEEE4"/>
            <w:vAlign w:val="center"/>
          </w:tcPr>
          <w:p w:rsidR="00602C93" w:rsidRPr="00281CCD" w:rsidRDefault="00602C93" w:rsidP="001D7D91">
            <w:pPr>
              <w:jc w:val="center"/>
              <w:rPr>
                <w:rFonts w:ascii="Times New Roman" w:hAnsi="Times New Roman" w:cs="Times New Roman"/>
                <w:color w:val="FF0000"/>
                <w:sz w:val="18"/>
                <w:szCs w:val="18"/>
              </w:rPr>
            </w:pPr>
            <w:r w:rsidRPr="00281CCD">
              <w:rPr>
                <w:rFonts w:ascii="Times New Roman" w:hAnsi="Times New Roman" w:cs="Times New Roman"/>
                <w:color w:val="FF0000"/>
                <w:sz w:val="18"/>
                <w:szCs w:val="18"/>
              </w:rPr>
              <w:t>8,38</w:t>
            </w:r>
          </w:p>
        </w:tc>
      </w:tr>
      <w:tr w:rsidR="00143ACB" w:rsidRPr="009E5C8F" w:rsidTr="009B5608">
        <w:tc>
          <w:tcPr>
            <w:tcW w:w="455" w:type="dxa"/>
            <w:shd w:val="clear" w:color="auto" w:fill="E2EFD9" w:themeFill="accent6" w:themeFillTint="33"/>
            <w:vAlign w:val="center"/>
          </w:tcPr>
          <w:p w:rsidR="00602C93" w:rsidRPr="00F63A43" w:rsidRDefault="00602C93" w:rsidP="00B83946">
            <w:pPr>
              <w:spacing w:before="60" w:after="60"/>
              <w:jc w:val="center"/>
              <w:rPr>
                <w:rFonts w:ascii="Times New Roman" w:hAnsi="Times New Roman" w:cs="Times New Roman"/>
                <w:b/>
                <w:color w:val="00B050"/>
              </w:rPr>
            </w:pPr>
            <w:r w:rsidRPr="00F63A43">
              <w:rPr>
                <w:rFonts w:ascii="Times New Roman" w:hAnsi="Times New Roman" w:cs="Times New Roman"/>
                <w:b/>
                <w:color w:val="00B050"/>
              </w:rPr>
              <w:t>38</w:t>
            </w:r>
          </w:p>
        </w:tc>
        <w:tc>
          <w:tcPr>
            <w:tcW w:w="8222" w:type="dxa"/>
            <w:shd w:val="clear" w:color="auto" w:fill="E2EFD9"/>
          </w:tcPr>
          <w:p w:rsidR="00602C93" w:rsidRPr="00F63A43" w:rsidRDefault="00602C93" w:rsidP="00602C93">
            <w:pPr>
              <w:spacing w:before="60" w:after="60"/>
              <w:jc w:val="both"/>
              <w:rPr>
                <w:rFonts w:ascii="Times New Roman" w:hAnsi="Times New Roman" w:cs="Times New Roman"/>
                <w:b/>
                <w:color w:val="00B050"/>
              </w:rPr>
            </w:pPr>
            <w:r w:rsidRPr="00F63A43">
              <w:rPr>
                <w:rFonts w:ascii="Times New Roman" w:hAnsi="Times New Roman" w:cs="Times New Roman"/>
                <w:b/>
                <w:color w:val="00B050"/>
              </w:rPr>
              <w:t>Kurum içi iletişim araçlarının (e-posta, duyurular gibi) yeterliliğinden</w:t>
            </w:r>
          </w:p>
        </w:tc>
        <w:tc>
          <w:tcPr>
            <w:tcW w:w="850" w:type="dxa"/>
            <w:shd w:val="clear" w:color="auto" w:fill="DCC5ED"/>
            <w:vAlign w:val="center"/>
          </w:tcPr>
          <w:p w:rsidR="00602C93" w:rsidRPr="00F63A43" w:rsidRDefault="00602C93" w:rsidP="001D7D91">
            <w:pPr>
              <w:jc w:val="center"/>
              <w:rPr>
                <w:rFonts w:ascii="Times New Roman" w:hAnsi="Times New Roman" w:cs="Times New Roman"/>
                <w:b/>
                <w:color w:val="00B050"/>
              </w:rPr>
            </w:pPr>
            <w:r w:rsidRPr="00F63A43">
              <w:rPr>
                <w:rFonts w:ascii="Times New Roman" w:hAnsi="Times New Roman" w:cs="Times New Roman"/>
                <w:b/>
                <w:color w:val="00B050"/>
              </w:rPr>
              <w:t>83,83</w:t>
            </w:r>
          </w:p>
        </w:tc>
        <w:tc>
          <w:tcPr>
            <w:tcW w:w="709" w:type="dxa"/>
            <w:vAlign w:val="center"/>
          </w:tcPr>
          <w:p w:rsidR="00602C93" w:rsidRPr="00C371C8" w:rsidRDefault="00602C93" w:rsidP="001D7D91">
            <w:pPr>
              <w:jc w:val="center"/>
              <w:rPr>
                <w:rFonts w:ascii="Times New Roman" w:hAnsi="Times New Roman" w:cs="Times New Roman"/>
                <w:sz w:val="18"/>
                <w:szCs w:val="18"/>
              </w:rPr>
            </w:pPr>
            <w:r w:rsidRPr="00C371C8">
              <w:rPr>
                <w:rFonts w:ascii="Times New Roman" w:hAnsi="Times New Roman" w:cs="Times New Roman"/>
                <w:sz w:val="18"/>
                <w:szCs w:val="18"/>
              </w:rPr>
              <w:t>11,97</w:t>
            </w:r>
          </w:p>
        </w:tc>
        <w:tc>
          <w:tcPr>
            <w:tcW w:w="1134" w:type="dxa"/>
            <w:shd w:val="clear" w:color="auto" w:fill="FCEEE4"/>
            <w:vAlign w:val="center"/>
          </w:tcPr>
          <w:p w:rsidR="00602C93" w:rsidRPr="00281CCD" w:rsidRDefault="00602C93" w:rsidP="001D7D91">
            <w:pPr>
              <w:jc w:val="center"/>
              <w:rPr>
                <w:rFonts w:ascii="Times New Roman" w:hAnsi="Times New Roman" w:cs="Times New Roman"/>
                <w:color w:val="FF0000"/>
                <w:sz w:val="18"/>
                <w:szCs w:val="18"/>
              </w:rPr>
            </w:pPr>
            <w:r w:rsidRPr="00281CCD">
              <w:rPr>
                <w:rFonts w:ascii="Times New Roman" w:hAnsi="Times New Roman" w:cs="Times New Roman"/>
                <w:color w:val="FF0000"/>
                <w:sz w:val="18"/>
                <w:szCs w:val="18"/>
              </w:rPr>
              <w:t>4,20</w:t>
            </w:r>
          </w:p>
        </w:tc>
      </w:tr>
      <w:tr w:rsidR="00521097" w:rsidRPr="009E5C8F" w:rsidTr="00D55797">
        <w:tc>
          <w:tcPr>
            <w:tcW w:w="455" w:type="dxa"/>
            <w:vAlign w:val="center"/>
          </w:tcPr>
          <w:p w:rsidR="00602C93" w:rsidRPr="009E5C8F" w:rsidRDefault="00602C93" w:rsidP="00B83946">
            <w:pPr>
              <w:spacing w:before="60" w:after="60"/>
              <w:jc w:val="center"/>
              <w:rPr>
                <w:rFonts w:ascii="Times New Roman" w:hAnsi="Times New Roman" w:cs="Times New Roman"/>
                <w:sz w:val="16"/>
                <w:szCs w:val="16"/>
              </w:rPr>
            </w:pPr>
            <w:r w:rsidRPr="009E5C8F">
              <w:rPr>
                <w:rFonts w:ascii="Times New Roman" w:hAnsi="Times New Roman" w:cs="Times New Roman"/>
                <w:sz w:val="16"/>
                <w:szCs w:val="16"/>
              </w:rPr>
              <w:lastRenderedPageBreak/>
              <w:t>39</w:t>
            </w:r>
          </w:p>
        </w:tc>
        <w:tc>
          <w:tcPr>
            <w:tcW w:w="8222" w:type="dxa"/>
          </w:tcPr>
          <w:p w:rsidR="00602C93" w:rsidRPr="009E5C8F" w:rsidRDefault="00602C93" w:rsidP="00602C93">
            <w:pPr>
              <w:spacing w:before="60" w:after="60"/>
              <w:jc w:val="both"/>
              <w:rPr>
                <w:rFonts w:ascii="Times New Roman" w:hAnsi="Times New Roman" w:cs="Times New Roman"/>
                <w:sz w:val="16"/>
                <w:szCs w:val="16"/>
              </w:rPr>
            </w:pPr>
            <w:r w:rsidRPr="009E5C8F">
              <w:rPr>
                <w:rFonts w:ascii="Times New Roman" w:hAnsi="Times New Roman" w:cs="Times New Roman"/>
                <w:sz w:val="16"/>
                <w:szCs w:val="16"/>
              </w:rPr>
              <w:t>Üniversitemiz web sayfasının tasarım ve içeriğinden</w:t>
            </w:r>
          </w:p>
        </w:tc>
        <w:tc>
          <w:tcPr>
            <w:tcW w:w="850" w:type="dxa"/>
            <w:shd w:val="clear" w:color="auto" w:fill="E7F9FF"/>
            <w:vAlign w:val="center"/>
          </w:tcPr>
          <w:p w:rsidR="00602C93" w:rsidRPr="009E164C" w:rsidRDefault="00602C93" w:rsidP="001D7D91">
            <w:pPr>
              <w:jc w:val="center"/>
              <w:rPr>
                <w:rFonts w:ascii="Times New Roman" w:hAnsi="Times New Roman" w:cs="Times New Roman"/>
                <w:b/>
                <w:color w:val="00B050"/>
                <w:sz w:val="20"/>
                <w:szCs w:val="20"/>
              </w:rPr>
            </w:pPr>
            <w:r w:rsidRPr="009E164C">
              <w:rPr>
                <w:rFonts w:ascii="Times New Roman" w:hAnsi="Times New Roman" w:cs="Times New Roman"/>
                <w:b/>
                <w:color w:val="00B050"/>
                <w:sz w:val="20"/>
                <w:szCs w:val="20"/>
              </w:rPr>
              <w:t>73,66</w:t>
            </w:r>
          </w:p>
        </w:tc>
        <w:tc>
          <w:tcPr>
            <w:tcW w:w="709" w:type="dxa"/>
            <w:vAlign w:val="center"/>
          </w:tcPr>
          <w:p w:rsidR="00602C93" w:rsidRPr="00C371C8" w:rsidRDefault="00602C93" w:rsidP="001D7D91">
            <w:pPr>
              <w:jc w:val="center"/>
              <w:rPr>
                <w:rFonts w:ascii="Times New Roman" w:hAnsi="Times New Roman" w:cs="Times New Roman"/>
                <w:sz w:val="18"/>
                <w:szCs w:val="18"/>
              </w:rPr>
            </w:pPr>
            <w:r w:rsidRPr="00C371C8">
              <w:rPr>
                <w:rFonts w:ascii="Times New Roman" w:hAnsi="Times New Roman" w:cs="Times New Roman"/>
                <w:sz w:val="18"/>
                <w:szCs w:val="18"/>
              </w:rPr>
              <w:t>18,56</w:t>
            </w:r>
          </w:p>
        </w:tc>
        <w:tc>
          <w:tcPr>
            <w:tcW w:w="1134" w:type="dxa"/>
            <w:shd w:val="clear" w:color="auto" w:fill="FCEEE4"/>
            <w:vAlign w:val="center"/>
          </w:tcPr>
          <w:p w:rsidR="00602C93" w:rsidRPr="00281CCD" w:rsidRDefault="00602C93" w:rsidP="001D7D91">
            <w:pPr>
              <w:jc w:val="center"/>
              <w:rPr>
                <w:rFonts w:ascii="Times New Roman" w:hAnsi="Times New Roman" w:cs="Times New Roman"/>
                <w:color w:val="FF0000"/>
                <w:sz w:val="18"/>
                <w:szCs w:val="18"/>
              </w:rPr>
            </w:pPr>
            <w:r w:rsidRPr="00281CCD">
              <w:rPr>
                <w:rFonts w:ascii="Times New Roman" w:hAnsi="Times New Roman" w:cs="Times New Roman"/>
                <w:color w:val="FF0000"/>
                <w:sz w:val="18"/>
                <w:szCs w:val="18"/>
              </w:rPr>
              <w:t>7,78</w:t>
            </w:r>
          </w:p>
        </w:tc>
      </w:tr>
      <w:tr w:rsidR="00521097" w:rsidRPr="009E5C8F" w:rsidTr="00D55797">
        <w:tc>
          <w:tcPr>
            <w:tcW w:w="455" w:type="dxa"/>
            <w:vAlign w:val="center"/>
          </w:tcPr>
          <w:p w:rsidR="00602C93" w:rsidRPr="009E5C8F" w:rsidRDefault="00602C93" w:rsidP="00B83946">
            <w:pPr>
              <w:spacing w:before="60" w:after="60"/>
              <w:jc w:val="center"/>
              <w:rPr>
                <w:rFonts w:ascii="Times New Roman" w:hAnsi="Times New Roman" w:cs="Times New Roman"/>
                <w:sz w:val="16"/>
                <w:szCs w:val="16"/>
              </w:rPr>
            </w:pPr>
            <w:r w:rsidRPr="009E5C8F">
              <w:rPr>
                <w:rFonts w:ascii="Times New Roman" w:hAnsi="Times New Roman" w:cs="Times New Roman"/>
                <w:sz w:val="16"/>
                <w:szCs w:val="16"/>
              </w:rPr>
              <w:t>40</w:t>
            </w:r>
          </w:p>
        </w:tc>
        <w:tc>
          <w:tcPr>
            <w:tcW w:w="8222" w:type="dxa"/>
          </w:tcPr>
          <w:p w:rsidR="00602C93" w:rsidRPr="009E5C8F" w:rsidRDefault="00602C93" w:rsidP="00602C93">
            <w:pPr>
              <w:spacing w:before="60" w:after="60"/>
              <w:jc w:val="both"/>
              <w:rPr>
                <w:rFonts w:ascii="Times New Roman" w:hAnsi="Times New Roman" w:cs="Times New Roman"/>
                <w:sz w:val="16"/>
                <w:szCs w:val="16"/>
              </w:rPr>
            </w:pPr>
            <w:r w:rsidRPr="009E5C8F">
              <w:rPr>
                <w:rFonts w:ascii="Times New Roman" w:hAnsi="Times New Roman" w:cs="Times New Roman"/>
                <w:sz w:val="16"/>
                <w:szCs w:val="16"/>
              </w:rPr>
              <w:t>Görev yaptığım birim web sayfasının tasarım ve içeriğinden</w:t>
            </w:r>
          </w:p>
        </w:tc>
        <w:tc>
          <w:tcPr>
            <w:tcW w:w="850" w:type="dxa"/>
            <w:shd w:val="clear" w:color="auto" w:fill="E7F9FF"/>
            <w:vAlign w:val="center"/>
          </w:tcPr>
          <w:p w:rsidR="00602C93" w:rsidRPr="009E164C" w:rsidRDefault="00602C93" w:rsidP="001D7D91">
            <w:pPr>
              <w:jc w:val="center"/>
              <w:rPr>
                <w:rFonts w:ascii="Times New Roman" w:hAnsi="Times New Roman" w:cs="Times New Roman"/>
                <w:b/>
                <w:color w:val="00B050"/>
                <w:sz w:val="20"/>
                <w:szCs w:val="20"/>
              </w:rPr>
            </w:pPr>
            <w:r w:rsidRPr="009E164C">
              <w:rPr>
                <w:rFonts w:ascii="Times New Roman" w:hAnsi="Times New Roman" w:cs="Times New Roman"/>
                <w:b/>
                <w:color w:val="00B050"/>
                <w:sz w:val="20"/>
                <w:szCs w:val="20"/>
              </w:rPr>
              <w:t>76,05</w:t>
            </w:r>
          </w:p>
        </w:tc>
        <w:tc>
          <w:tcPr>
            <w:tcW w:w="709" w:type="dxa"/>
            <w:vAlign w:val="center"/>
          </w:tcPr>
          <w:p w:rsidR="00602C93" w:rsidRPr="00C371C8" w:rsidRDefault="00602C93" w:rsidP="001D7D91">
            <w:pPr>
              <w:jc w:val="center"/>
              <w:rPr>
                <w:rFonts w:ascii="Times New Roman" w:hAnsi="Times New Roman" w:cs="Times New Roman"/>
                <w:sz w:val="18"/>
                <w:szCs w:val="18"/>
              </w:rPr>
            </w:pPr>
            <w:r w:rsidRPr="00C371C8">
              <w:rPr>
                <w:rFonts w:ascii="Times New Roman" w:hAnsi="Times New Roman" w:cs="Times New Roman"/>
                <w:sz w:val="18"/>
                <w:szCs w:val="18"/>
              </w:rPr>
              <w:t>17,96</w:t>
            </w:r>
          </w:p>
        </w:tc>
        <w:tc>
          <w:tcPr>
            <w:tcW w:w="1134" w:type="dxa"/>
            <w:shd w:val="clear" w:color="auto" w:fill="FCEEE4"/>
            <w:vAlign w:val="center"/>
          </w:tcPr>
          <w:p w:rsidR="00602C93" w:rsidRPr="00281CCD" w:rsidRDefault="00602C93" w:rsidP="001D7D91">
            <w:pPr>
              <w:jc w:val="center"/>
              <w:rPr>
                <w:rFonts w:ascii="Times New Roman" w:hAnsi="Times New Roman" w:cs="Times New Roman"/>
                <w:color w:val="FF0000"/>
                <w:sz w:val="18"/>
                <w:szCs w:val="18"/>
              </w:rPr>
            </w:pPr>
            <w:r w:rsidRPr="00281CCD">
              <w:rPr>
                <w:rFonts w:ascii="Times New Roman" w:hAnsi="Times New Roman" w:cs="Times New Roman"/>
                <w:color w:val="FF0000"/>
                <w:sz w:val="18"/>
                <w:szCs w:val="18"/>
              </w:rPr>
              <w:t>5,99</w:t>
            </w:r>
          </w:p>
        </w:tc>
      </w:tr>
      <w:tr w:rsidR="00521097" w:rsidRPr="009E5C8F" w:rsidTr="00D55797">
        <w:tc>
          <w:tcPr>
            <w:tcW w:w="455" w:type="dxa"/>
            <w:vAlign w:val="center"/>
          </w:tcPr>
          <w:p w:rsidR="00602C93" w:rsidRPr="009E5C8F" w:rsidRDefault="00602C93" w:rsidP="00B83946">
            <w:pPr>
              <w:spacing w:before="60" w:after="60"/>
              <w:jc w:val="center"/>
              <w:rPr>
                <w:rFonts w:ascii="Times New Roman" w:hAnsi="Times New Roman" w:cs="Times New Roman"/>
                <w:sz w:val="16"/>
                <w:szCs w:val="16"/>
              </w:rPr>
            </w:pPr>
            <w:r w:rsidRPr="009E5C8F">
              <w:rPr>
                <w:rFonts w:ascii="Times New Roman" w:hAnsi="Times New Roman" w:cs="Times New Roman"/>
                <w:sz w:val="16"/>
                <w:szCs w:val="16"/>
              </w:rPr>
              <w:t>41</w:t>
            </w:r>
          </w:p>
        </w:tc>
        <w:tc>
          <w:tcPr>
            <w:tcW w:w="8222" w:type="dxa"/>
          </w:tcPr>
          <w:p w:rsidR="00602C93" w:rsidRPr="009E5C8F" w:rsidRDefault="00602C93" w:rsidP="00602C93">
            <w:pPr>
              <w:spacing w:before="60" w:after="60"/>
              <w:jc w:val="both"/>
              <w:rPr>
                <w:rFonts w:ascii="Times New Roman" w:hAnsi="Times New Roman" w:cs="Times New Roman"/>
                <w:sz w:val="16"/>
                <w:szCs w:val="16"/>
              </w:rPr>
            </w:pPr>
            <w:r w:rsidRPr="009E5C8F">
              <w:rPr>
                <w:rFonts w:ascii="Times New Roman" w:hAnsi="Times New Roman" w:cs="Times New Roman"/>
                <w:sz w:val="16"/>
                <w:szCs w:val="16"/>
              </w:rPr>
              <w:t>Ofislerin fiziki ve donanımsal (bilgisayar, yazıcı, dolap gibi) yeterliliğinden</w:t>
            </w:r>
          </w:p>
        </w:tc>
        <w:tc>
          <w:tcPr>
            <w:tcW w:w="850" w:type="dxa"/>
            <w:shd w:val="clear" w:color="auto" w:fill="E7F9FF"/>
            <w:vAlign w:val="center"/>
          </w:tcPr>
          <w:p w:rsidR="00602C93" w:rsidRPr="009E164C" w:rsidRDefault="00602C93" w:rsidP="001D7D91">
            <w:pPr>
              <w:jc w:val="center"/>
              <w:rPr>
                <w:rFonts w:ascii="Times New Roman" w:hAnsi="Times New Roman" w:cs="Times New Roman"/>
                <w:b/>
                <w:color w:val="00B050"/>
                <w:sz w:val="20"/>
                <w:szCs w:val="20"/>
              </w:rPr>
            </w:pPr>
            <w:r w:rsidRPr="009E164C">
              <w:rPr>
                <w:rFonts w:ascii="Times New Roman" w:hAnsi="Times New Roman" w:cs="Times New Roman"/>
                <w:b/>
                <w:color w:val="00B050"/>
                <w:sz w:val="20"/>
                <w:szCs w:val="20"/>
              </w:rPr>
              <w:t>62,87</w:t>
            </w:r>
          </w:p>
        </w:tc>
        <w:tc>
          <w:tcPr>
            <w:tcW w:w="709" w:type="dxa"/>
            <w:vAlign w:val="center"/>
          </w:tcPr>
          <w:p w:rsidR="00602C93" w:rsidRPr="00C371C8" w:rsidRDefault="00602C93" w:rsidP="001D7D91">
            <w:pPr>
              <w:jc w:val="center"/>
              <w:rPr>
                <w:rFonts w:ascii="Times New Roman" w:hAnsi="Times New Roman" w:cs="Times New Roman"/>
                <w:sz w:val="18"/>
                <w:szCs w:val="18"/>
              </w:rPr>
            </w:pPr>
            <w:r w:rsidRPr="00C371C8">
              <w:rPr>
                <w:rFonts w:ascii="Times New Roman" w:hAnsi="Times New Roman" w:cs="Times New Roman"/>
                <w:sz w:val="18"/>
                <w:szCs w:val="18"/>
              </w:rPr>
              <w:t>16,17</w:t>
            </w:r>
          </w:p>
        </w:tc>
        <w:tc>
          <w:tcPr>
            <w:tcW w:w="1134" w:type="dxa"/>
            <w:shd w:val="clear" w:color="auto" w:fill="FCEEE4"/>
            <w:vAlign w:val="center"/>
          </w:tcPr>
          <w:p w:rsidR="00602C93" w:rsidRPr="00281CCD" w:rsidRDefault="00602C93" w:rsidP="001D7D91">
            <w:pPr>
              <w:jc w:val="center"/>
              <w:rPr>
                <w:rFonts w:ascii="Times New Roman" w:hAnsi="Times New Roman" w:cs="Times New Roman"/>
                <w:color w:val="FF0000"/>
                <w:sz w:val="18"/>
                <w:szCs w:val="18"/>
              </w:rPr>
            </w:pPr>
            <w:r w:rsidRPr="00281CCD">
              <w:rPr>
                <w:rFonts w:ascii="Times New Roman" w:hAnsi="Times New Roman" w:cs="Times New Roman"/>
                <w:color w:val="FF0000"/>
                <w:sz w:val="18"/>
                <w:szCs w:val="18"/>
              </w:rPr>
              <w:t>20,96</w:t>
            </w:r>
          </w:p>
        </w:tc>
      </w:tr>
      <w:tr w:rsidR="00521097" w:rsidRPr="009E5C8F" w:rsidTr="00D55797">
        <w:tc>
          <w:tcPr>
            <w:tcW w:w="455" w:type="dxa"/>
            <w:vAlign w:val="center"/>
          </w:tcPr>
          <w:p w:rsidR="00602C93" w:rsidRPr="009E5C8F" w:rsidRDefault="00602C93" w:rsidP="00B83946">
            <w:pPr>
              <w:spacing w:before="60" w:after="60"/>
              <w:jc w:val="center"/>
              <w:rPr>
                <w:rFonts w:ascii="Times New Roman" w:hAnsi="Times New Roman" w:cs="Times New Roman"/>
                <w:sz w:val="16"/>
                <w:szCs w:val="16"/>
              </w:rPr>
            </w:pPr>
            <w:r w:rsidRPr="009E5C8F">
              <w:rPr>
                <w:rFonts w:ascii="Times New Roman" w:hAnsi="Times New Roman" w:cs="Times New Roman"/>
                <w:sz w:val="16"/>
                <w:szCs w:val="16"/>
              </w:rPr>
              <w:t>42</w:t>
            </w:r>
          </w:p>
        </w:tc>
        <w:tc>
          <w:tcPr>
            <w:tcW w:w="8222" w:type="dxa"/>
          </w:tcPr>
          <w:p w:rsidR="00602C93" w:rsidRPr="009E5C8F" w:rsidRDefault="00602C93" w:rsidP="00602C93">
            <w:pPr>
              <w:spacing w:before="60" w:after="60"/>
              <w:ind w:right="-108"/>
              <w:jc w:val="both"/>
              <w:rPr>
                <w:rFonts w:ascii="Times New Roman" w:hAnsi="Times New Roman" w:cs="Times New Roman"/>
                <w:sz w:val="16"/>
                <w:szCs w:val="16"/>
              </w:rPr>
            </w:pPr>
            <w:r w:rsidRPr="009E5C8F">
              <w:rPr>
                <w:rFonts w:ascii="Times New Roman" w:hAnsi="Times New Roman" w:cs="Times New Roman"/>
                <w:sz w:val="16"/>
                <w:szCs w:val="16"/>
              </w:rPr>
              <w:t>Üniversitemizin beklentilerinizi karşılama düzeyinden</w:t>
            </w:r>
          </w:p>
        </w:tc>
        <w:tc>
          <w:tcPr>
            <w:tcW w:w="850" w:type="dxa"/>
            <w:shd w:val="clear" w:color="auto" w:fill="E7F9FF"/>
            <w:vAlign w:val="center"/>
          </w:tcPr>
          <w:p w:rsidR="00602C93" w:rsidRPr="003F2140" w:rsidRDefault="00602C93" w:rsidP="001D7D91">
            <w:pPr>
              <w:jc w:val="center"/>
              <w:rPr>
                <w:rFonts w:ascii="Times New Roman" w:hAnsi="Times New Roman" w:cs="Times New Roman"/>
                <w:b/>
                <w:color w:val="00B050"/>
                <w:sz w:val="20"/>
                <w:szCs w:val="20"/>
              </w:rPr>
            </w:pPr>
            <w:r w:rsidRPr="003F2140">
              <w:rPr>
                <w:rFonts w:ascii="Times New Roman" w:hAnsi="Times New Roman" w:cs="Times New Roman"/>
                <w:b/>
                <w:color w:val="00B050"/>
                <w:sz w:val="20"/>
                <w:szCs w:val="20"/>
              </w:rPr>
              <w:t>47,91</w:t>
            </w:r>
          </w:p>
        </w:tc>
        <w:tc>
          <w:tcPr>
            <w:tcW w:w="709" w:type="dxa"/>
            <w:vAlign w:val="center"/>
          </w:tcPr>
          <w:p w:rsidR="00602C93" w:rsidRPr="00C371C8" w:rsidRDefault="00602C93" w:rsidP="001D7D91">
            <w:pPr>
              <w:jc w:val="center"/>
              <w:rPr>
                <w:rFonts w:ascii="Times New Roman" w:hAnsi="Times New Roman" w:cs="Times New Roman"/>
                <w:sz w:val="18"/>
                <w:szCs w:val="18"/>
              </w:rPr>
            </w:pPr>
            <w:r w:rsidRPr="00C371C8">
              <w:rPr>
                <w:rFonts w:ascii="Times New Roman" w:hAnsi="Times New Roman" w:cs="Times New Roman"/>
                <w:sz w:val="18"/>
                <w:szCs w:val="18"/>
              </w:rPr>
              <w:t>20,95</w:t>
            </w:r>
          </w:p>
        </w:tc>
        <w:tc>
          <w:tcPr>
            <w:tcW w:w="1134" w:type="dxa"/>
            <w:shd w:val="clear" w:color="auto" w:fill="FCEEE4"/>
            <w:vAlign w:val="center"/>
          </w:tcPr>
          <w:p w:rsidR="00602C93" w:rsidRPr="00281CCD" w:rsidRDefault="00602C93" w:rsidP="001D7D91">
            <w:pPr>
              <w:jc w:val="center"/>
              <w:rPr>
                <w:rFonts w:ascii="Times New Roman" w:hAnsi="Times New Roman" w:cs="Times New Roman"/>
                <w:color w:val="FF0000"/>
                <w:sz w:val="18"/>
                <w:szCs w:val="18"/>
              </w:rPr>
            </w:pPr>
            <w:r w:rsidRPr="00281CCD">
              <w:rPr>
                <w:rFonts w:ascii="Times New Roman" w:hAnsi="Times New Roman" w:cs="Times New Roman"/>
                <w:color w:val="FF0000"/>
                <w:sz w:val="18"/>
                <w:szCs w:val="18"/>
              </w:rPr>
              <w:t>31,14</w:t>
            </w:r>
          </w:p>
        </w:tc>
      </w:tr>
      <w:tr w:rsidR="00521097" w:rsidRPr="009E5C8F" w:rsidTr="00D55797">
        <w:tc>
          <w:tcPr>
            <w:tcW w:w="455" w:type="dxa"/>
            <w:vAlign w:val="center"/>
          </w:tcPr>
          <w:p w:rsidR="00602C93" w:rsidRPr="009E5C8F" w:rsidRDefault="00602C93" w:rsidP="00B83946">
            <w:pPr>
              <w:spacing w:before="60" w:after="60"/>
              <w:jc w:val="center"/>
              <w:rPr>
                <w:rFonts w:ascii="Times New Roman" w:hAnsi="Times New Roman" w:cs="Times New Roman"/>
                <w:sz w:val="16"/>
                <w:szCs w:val="16"/>
              </w:rPr>
            </w:pPr>
            <w:r w:rsidRPr="009E5C8F">
              <w:rPr>
                <w:rFonts w:ascii="Times New Roman" w:hAnsi="Times New Roman" w:cs="Times New Roman"/>
                <w:sz w:val="16"/>
                <w:szCs w:val="16"/>
              </w:rPr>
              <w:t>43</w:t>
            </w:r>
          </w:p>
        </w:tc>
        <w:tc>
          <w:tcPr>
            <w:tcW w:w="8222" w:type="dxa"/>
          </w:tcPr>
          <w:p w:rsidR="00602C93" w:rsidRPr="009E5C8F" w:rsidRDefault="00602C93" w:rsidP="00602C93">
            <w:pPr>
              <w:spacing w:before="60" w:after="60"/>
              <w:ind w:right="-108"/>
              <w:jc w:val="both"/>
              <w:rPr>
                <w:rFonts w:ascii="Times New Roman" w:hAnsi="Times New Roman" w:cs="Times New Roman"/>
                <w:sz w:val="16"/>
                <w:szCs w:val="16"/>
              </w:rPr>
            </w:pPr>
            <w:r w:rsidRPr="009E5C8F">
              <w:rPr>
                <w:rFonts w:ascii="Times New Roman" w:hAnsi="Times New Roman" w:cs="Times New Roman"/>
                <w:sz w:val="16"/>
                <w:szCs w:val="16"/>
              </w:rPr>
              <w:t>Görev yaptığım birimin bir mensubu olmaktan</w:t>
            </w:r>
          </w:p>
        </w:tc>
        <w:tc>
          <w:tcPr>
            <w:tcW w:w="850" w:type="dxa"/>
            <w:shd w:val="clear" w:color="auto" w:fill="E7F9FF"/>
            <w:vAlign w:val="center"/>
          </w:tcPr>
          <w:p w:rsidR="00602C93" w:rsidRPr="009E164C" w:rsidRDefault="00602C93" w:rsidP="001D7D91">
            <w:pPr>
              <w:jc w:val="center"/>
              <w:rPr>
                <w:rFonts w:ascii="Times New Roman" w:hAnsi="Times New Roman" w:cs="Times New Roman"/>
                <w:b/>
                <w:color w:val="00B050"/>
                <w:sz w:val="20"/>
                <w:szCs w:val="20"/>
              </w:rPr>
            </w:pPr>
            <w:r w:rsidRPr="009E164C">
              <w:rPr>
                <w:rFonts w:ascii="Times New Roman" w:hAnsi="Times New Roman" w:cs="Times New Roman"/>
                <w:b/>
                <w:color w:val="00B050"/>
                <w:sz w:val="20"/>
                <w:szCs w:val="20"/>
              </w:rPr>
              <w:t>69,46</w:t>
            </w:r>
          </w:p>
        </w:tc>
        <w:tc>
          <w:tcPr>
            <w:tcW w:w="709" w:type="dxa"/>
            <w:vAlign w:val="center"/>
          </w:tcPr>
          <w:p w:rsidR="00602C93" w:rsidRPr="00C371C8" w:rsidRDefault="00602C93" w:rsidP="001D7D91">
            <w:pPr>
              <w:jc w:val="center"/>
              <w:rPr>
                <w:rFonts w:ascii="Times New Roman" w:hAnsi="Times New Roman" w:cs="Times New Roman"/>
                <w:sz w:val="18"/>
                <w:szCs w:val="18"/>
              </w:rPr>
            </w:pPr>
            <w:r w:rsidRPr="00C371C8">
              <w:rPr>
                <w:rFonts w:ascii="Times New Roman" w:hAnsi="Times New Roman" w:cs="Times New Roman"/>
                <w:sz w:val="18"/>
                <w:szCs w:val="18"/>
              </w:rPr>
              <w:t>15,57</w:t>
            </w:r>
          </w:p>
        </w:tc>
        <w:tc>
          <w:tcPr>
            <w:tcW w:w="1134" w:type="dxa"/>
            <w:shd w:val="clear" w:color="auto" w:fill="FCEEE4"/>
            <w:vAlign w:val="center"/>
          </w:tcPr>
          <w:p w:rsidR="00602C93" w:rsidRPr="00281CCD" w:rsidRDefault="00602C93" w:rsidP="001D7D91">
            <w:pPr>
              <w:jc w:val="center"/>
              <w:rPr>
                <w:rFonts w:ascii="Times New Roman" w:hAnsi="Times New Roman" w:cs="Times New Roman"/>
                <w:color w:val="FF0000"/>
                <w:sz w:val="18"/>
                <w:szCs w:val="18"/>
              </w:rPr>
            </w:pPr>
            <w:r w:rsidRPr="00281CCD">
              <w:rPr>
                <w:rFonts w:ascii="Times New Roman" w:hAnsi="Times New Roman" w:cs="Times New Roman"/>
                <w:color w:val="FF0000"/>
                <w:sz w:val="18"/>
                <w:szCs w:val="18"/>
              </w:rPr>
              <w:t>14,97</w:t>
            </w:r>
          </w:p>
        </w:tc>
      </w:tr>
      <w:tr w:rsidR="00521097" w:rsidRPr="009E5C8F" w:rsidTr="00D55797">
        <w:tc>
          <w:tcPr>
            <w:tcW w:w="455" w:type="dxa"/>
            <w:vAlign w:val="center"/>
          </w:tcPr>
          <w:p w:rsidR="00602C93" w:rsidRPr="009E5C8F" w:rsidRDefault="00602C93" w:rsidP="00B83946">
            <w:pPr>
              <w:spacing w:before="60" w:after="60"/>
              <w:jc w:val="center"/>
              <w:rPr>
                <w:rFonts w:ascii="Times New Roman" w:hAnsi="Times New Roman" w:cs="Times New Roman"/>
                <w:sz w:val="16"/>
                <w:szCs w:val="16"/>
              </w:rPr>
            </w:pPr>
            <w:r w:rsidRPr="009E5C8F">
              <w:rPr>
                <w:rFonts w:ascii="Times New Roman" w:hAnsi="Times New Roman" w:cs="Times New Roman"/>
                <w:sz w:val="16"/>
                <w:szCs w:val="16"/>
              </w:rPr>
              <w:t>44</w:t>
            </w:r>
          </w:p>
        </w:tc>
        <w:tc>
          <w:tcPr>
            <w:tcW w:w="8222" w:type="dxa"/>
          </w:tcPr>
          <w:p w:rsidR="00602C93" w:rsidRPr="009E5C8F" w:rsidRDefault="00602C93" w:rsidP="00602C93">
            <w:pPr>
              <w:spacing w:before="60" w:after="60"/>
              <w:ind w:right="-108"/>
              <w:jc w:val="both"/>
              <w:rPr>
                <w:rFonts w:ascii="Times New Roman" w:hAnsi="Times New Roman" w:cs="Times New Roman"/>
                <w:sz w:val="16"/>
                <w:szCs w:val="16"/>
              </w:rPr>
            </w:pPr>
            <w:r w:rsidRPr="009E5C8F">
              <w:rPr>
                <w:rFonts w:ascii="Times New Roman" w:hAnsi="Times New Roman" w:cs="Times New Roman"/>
                <w:sz w:val="16"/>
                <w:szCs w:val="16"/>
              </w:rPr>
              <w:t>Üniversitemizin bir mensubu olmaktan (Üniversiteye ilişkin genel memnuniyet)</w:t>
            </w:r>
          </w:p>
        </w:tc>
        <w:tc>
          <w:tcPr>
            <w:tcW w:w="850" w:type="dxa"/>
            <w:shd w:val="clear" w:color="auto" w:fill="E7F9FF"/>
            <w:vAlign w:val="center"/>
          </w:tcPr>
          <w:p w:rsidR="00602C93" w:rsidRPr="009E164C" w:rsidRDefault="00602C93" w:rsidP="001D7D91">
            <w:pPr>
              <w:jc w:val="center"/>
              <w:rPr>
                <w:rFonts w:ascii="Times New Roman" w:hAnsi="Times New Roman" w:cs="Times New Roman"/>
                <w:b/>
                <w:color w:val="00B050"/>
                <w:sz w:val="20"/>
                <w:szCs w:val="20"/>
              </w:rPr>
            </w:pPr>
            <w:r w:rsidRPr="009E164C">
              <w:rPr>
                <w:rFonts w:ascii="Times New Roman" w:hAnsi="Times New Roman" w:cs="Times New Roman"/>
                <w:b/>
                <w:color w:val="00B050"/>
                <w:sz w:val="20"/>
                <w:szCs w:val="20"/>
              </w:rPr>
              <w:t>68,86</w:t>
            </w:r>
          </w:p>
        </w:tc>
        <w:tc>
          <w:tcPr>
            <w:tcW w:w="709" w:type="dxa"/>
            <w:vAlign w:val="center"/>
          </w:tcPr>
          <w:p w:rsidR="00602C93" w:rsidRPr="00C371C8" w:rsidRDefault="00602C93" w:rsidP="001D7D91">
            <w:pPr>
              <w:jc w:val="center"/>
              <w:rPr>
                <w:rFonts w:ascii="Times New Roman" w:hAnsi="Times New Roman" w:cs="Times New Roman"/>
                <w:sz w:val="18"/>
                <w:szCs w:val="18"/>
              </w:rPr>
            </w:pPr>
            <w:r w:rsidRPr="00C371C8">
              <w:rPr>
                <w:rFonts w:ascii="Times New Roman" w:hAnsi="Times New Roman" w:cs="Times New Roman"/>
                <w:sz w:val="18"/>
                <w:szCs w:val="18"/>
              </w:rPr>
              <w:t>16,77</w:t>
            </w:r>
          </w:p>
        </w:tc>
        <w:tc>
          <w:tcPr>
            <w:tcW w:w="1134" w:type="dxa"/>
            <w:shd w:val="clear" w:color="auto" w:fill="FCEEE4"/>
            <w:vAlign w:val="center"/>
          </w:tcPr>
          <w:p w:rsidR="00602C93" w:rsidRPr="00281CCD" w:rsidRDefault="00602C93" w:rsidP="001D7D91">
            <w:pPr>
              <w:jc w:val="center"/>
              <w:rPr>
                <w:rFonts w:ascii="Times New Roman" w:hAnsi="Times New Roman" w:cs="Times New Roman"/>
                <w:color w:val="FF0000"/>
                <w:sz w:val="18"/>
                <w:szCs w:val="18"/>
              </w:rPr>
            </w:pPr>
            <w:r w:rsidRPr="00281CCD">
              <w:rPr>
                <w:rFonts w:ascii="Times New Roman" w:hAnsi="Times New Roman" w:cs="Times New Roman"/>
                <w:color w:val="FF0000"/>
                <w:sz w:val="18"/>
                <w:szCs w:val="18"/>
              </w:rPr>
              <w:t>14,37</w:t>
            </w:r>
          </w:p>
        </w:tc>
      </w:tr>
    </w:tbl>
    <w:p w:rsidR="00DB6889" w:rsidRDefault="00DB6889" w:rsidP="002404CD">
      <w:pPr>
        <w:jc w:val="both"/>
        <w:rPr>
          <w:rFonts w:ascii="Times New Roman" w:hAnsi="Times New Roman" w:cs="Times New Roman"/>
          <w:sz w:val="16"/>
          <w:szCs w:val="16"/>
        </w:rPr>
      </w:pPr>
    </w:p>
    <w:tbl>
      <w:tblPr>
        <w:tblStyle w:val="TabloKlavuzu1"/>
        <w:tblW w:w="11370" w:type="dxa"/>
        <w:tblInd w:w="-318" w:type="dxa"/>
        <w:tblLayout w:type="fixed"/>
        <w:tblLook w:val="04A0" w:firstRow="1" w:lastRow="0" w:firstColumn="1" w:lastColumn="0" w:noHBand="0" w:noVBand="1"/>
      </w:tblPr>
      <w:tblGrid>
        <w:gridCol w:w="426"/>
        <w:gridCol w:w="7967"/>
        <w:gridCol w:w="992"/>
        <w:gridCol w:w="709"/>
        <w:gridCol w:w="1276"/>
      </w:tblGrid>
      <w:tr w:rsidR="005E5F89" w:rsidRPr="005E5F89" w:rsidTr="00222BFD">
        <w:trPr>
          <w:cantSplit/>
          <w:trHeight w:val="297"/>
        </w:trPr>
        <w:tc>
          <w:tcPr>
            <w:tcW w:w="8393" w:type="dxa"/>
            <w:gridSpan w:val="2"/>
            <w:vMerge w:val="restart"/>
            <w:vAlign w:val="center"/>
          </w:tcPr>
          <w:p w:rsidR="005E5F89" w:rsidRPr="005E5F89" w:rsidRDefault="005E5F89" w:rsidP="005E5F89">
            <w:pPr>
              <w:jc w:val="center"/>
              <w:rPr>
                <w:rFonts w:ascii="Times New Roman" w:hAnsi="Times New Roman" w:cs="Times New Roman"/>
                <w:color w:val="00B050"/>
                <w:sz w:val="24"/>
                <w:szCs w:val="24"/>
              </w:rPr>
            </w:pPr>
            <w:r w:rsidRPr="005E5F89">
              <w:rPr>
                <w:rFonts w:ascii="Times New Roman" w:hAnsi="Times New Roman" w:cs="Times New Roman"/>
                <w:b/>
                <w:sz w:val="24"/>
                <w:szCs w:val="24"/>
              </w:rPr>
              <w:t xml:space="preserve">Tablo </w:t>
            </w:r>
            <w:r w:rsidR="009179C0">
              <w:rPr>
                <w:rFonts w:ascii="Times New Roman" w:hAnsi="Times New Roman" w:cs="Times New Roman"/>
                <w:b/>
                <w:sz w:val="24"/>
                <w:szCs w:val="24"/>
              </w:rPr>
              <w:t>2</w:t>
            </w:r>
            <w:r w:rsidRPr="005E5F89">
              <w:rPr>
                <w:rFonts w:ascii="Times New Roman" w:hAnsi="Times New Roman" w:cs="Times New Roman"/>
                <w:b/>
                <w:sz w:val="24"/>
                <w:szCs w:val="24"/>
              </w:rPr>
              <w:t xml:space="preserve">: </w:t>
            </w:r>
            <w:r w:rsidRPr="005E5F89">
              <w:rPr>
                <w:rFonts w:ascii="Times New Roman" w:hAnsi="Times New Roman" w:cs="Times New Roman"/>
                <w:color w:val="00B050"/>
                <w:sz w:val="24"/>
                <w:szCs w:val="24"/>
              </w:rPr>
              <w:t xml:space="preserve">Memnuniyetin Yüksek Olduğu Konular </w:t>
            </w:r>
            <w:r w:rsidR="001879AF">
              <w:rPr>
                <w:rFonts w:ascii="Times New Roman" w:hAnsi="Times New Roman" w:cs="Times New Roman"/>
                <w:color w:val="00B050"/>
                <w:sz w:val="24"/>
                <w:szCs w:val="24"/>
              </w:rPr>
              <w:t>Yüzde</w:t>
            </w:r>
            <w:r w:rsidR="008A338F">
              <w:rPr>
                <w:rFonts w:ascii="Times New Roman" w:hAnsi="Times New Roman" w:cs="Times New Roman"/>
                <w:color w:val="00B050"/>
                <w:sz w:val="24"/>
                <w:szCs w:val="24"/>
              </w:rPr>
              <w:t xml:space="preserve"> </w:t>
            </w:r>
            <w:r w:rsidRPr="005E5F89">
              <w:rPr>
                <w:rFonts w:ascii="Times New Roman" w:hAnsi="Times New Roman" w:cs="Times New Roman"/>
                <w:color w:val="00B050"/>
                <w:sz w:val="24"/>
                <w:szCs w:val="24"/>
              </w:rPr>
              <w:t>(%)</w:t>
            </w:r>
          </w:p>
          <w:p w:rsidR="005E5F89" w:rsidRPr="005E5F89" w:rsidRDefault="005E5F89" w:rsidP="005E5F89">
            <w:pPr>
              <w:jc w:val="center"/>
              <w:rPr>
                <w:rFonts w:ascii="Times New Roman" w:hAnsi="Times New Roman" w:cs="Times New Roman"/>
                <w:sz w:val="24"/>
                <w:szCs w:val="24"/>
              </w:rPr>
            </w:pPr>
            <w:r w:rsidRPr="005E5F89">
              <w:rPr>
                <w:rFonts w:ascii="Times New Roman" w:hAnsi="Times New Roman" w:cs="Times New Roman"/>
                <w:color w:val="00B050"/>
                <w:sz w:val="24"/>
                <w:szCs w:val="24"/>
              </w:rPr>
              <w:t xml:space="preserve">  (Yüksekten Düşüğe Göre Sıralı)</w:t>
            </w:r>
          </w:p>
          <w:p w:rsidR="005E5F89" w:rsidRPr="005E5F89" w:rsidRDefault="005E5F89" w:rsidP="005E5F89">
            <w:pPr>
              <w:jc w:val="center"/>
              <w:rPr>
                <w:rFonts w:ascii="Times New Roman" w:hAnsi="Times New Roman" w:cs="Times New Roman"/>
                <w:b/>
                <w:sz w:val="24"/>
                <w:szCs w:val="24"/>
              </w:rPr>
            </w:pPr>
          </w:p>
          <w:p w:rsidR="005E5F89" w:rsidRPr="005E5F89" w:rsidRDefault="00D95C7A" w:rsidP="005E5F89">
            <w:pPr>
              <w:jc w:val="center"/>
              <w:rPr>
                <w:rFonts w:ascii="Times New Roman" w:hAnsi="Times New Roman" w:cs="Times New Roman"/>
              </w:rPr>
            </w:pPr>
            <w:r w:rsidRPr="002D6760">
              <w:rPr>
                <w:rFonts w:ascii="Times New Roman" w:hAnsi="Times New Roman" w:cs="Times New Roman"/>
                <w:sz w:val="24"/>
                <w:szCs w:val="24"/>
              </w:rPr>
              <w:t>Ankete katılan idari personel sayısı: 167</w:t>
            </w:r>
          </w:p>
        </w:tc>
        <w:tc>
          <w:tcPr>
            <w:tcW w:w="2977" w:type="dxa"/>
            <w:gridSpan w:val="3"/>
            <w:tcBorders>
              <w:bottom w:val="single" w:sz="4" w:space="0" w:color="auto"/>
            </w:tcBorders>
            <w:vAlign w:val="center"/>
          </w:tcPr>
          <w:p w:rsidR="005E5F89" w:rsidRPr="005E5F89" w:rsidRDefault="005E5F89" w:rsidP="00160EB3">
            <w:pPr>
              <w:jc w:val="center"/>
              <w:rPr>
                <w:rFonts w:ascii="Times New Roman" w:hAnsi="Times New Roman" w:cs="Times New Roman"/>
                <w:b/>
                <w:sz w:val="16"/>
                <w:szCs w:val="16"/>
              </w:rPr>
            </w:pPr>
            <w:r w:rsidRPr="005E5F89">
              <w:rPr>
                <w:rFonts w:ascii="Times New Roman" w:hAnsi="Times New Roman" w:cs="Times New Roman"/>
                <w:b/>
                <w:sz w:val="16"/>
                <w:szCs w:val="16"/>
              </w:rPr>
              <w:t xml:space="preserve">MEMNUNİYET DÜZEYİ </w:t>
            </w:r>
          </w:p>
        </w:tc>
      </w:tr>
      <w:tr w:rsidR="005E5F89" w:rsidRPr="005E5F89" w:rsidTr="009A06A8">
        <w:trPr>
          <w:cantSplit/>
          <w:trHeight w:val="1110"/>
        </w:trPr>
        <w:tc>
          <w:tcPr>
            <w:tcW w:w="8393" w:type="dxa"/>
            <w:gridSpan w:val="2"/>
            <w:vMerge/>
            <w:tcBorders>
              <w:bottom w:val="single" w:sz="4" w:space="0" w:color="auto"/>
            </w:tcBorders>
          </w:tcPr>
          <w:p w:rsidR="005E5F89" w:rsidRPr="005E5F89" w:rsidRDefault="005E5F89" w:rsidP="005E5F89">
            <w:pPr>
              <w:rPr>
                <w:rFonts w:ascii="Times New Roman" w:hAnsi="Times New Roman" w:cs="Times New Roman"/>
                <w:sz w:val="20"/>
                <w:szCs w:val="20"/>
              </w:rPr>
            </w:pPr>
          </w:p>
        </w:tc>
        <w:tc>
          <w:tcPr>
            <w:tcW w:w="992" w:type="dxa"/>
            <w:tcBorders>
              <w:bottom w:val="single" w:sz="4" w:space="0" w:color="auto"/>
            </w:tcBorders>
            <w:shd w:val="clear" w:color="auto" w:fill="DEEAF6" w:themeFill="accent1" w:themeFillTint="33"/>
            <w:textDirection w:val="btLr"/>
            <w:vAlign w:val="center"/>
          </w:tcPr>
          <w:p w:rsidR="005E5F89" w:rsidRPr="005E5F89" w:rsidRDefault="005E5F89" w:rsidP="005E5F89">
            <w:pPr>
              <w:ind w:left="113" w:right="113"/>
              <w:jc w:val="center"/>
              <w:rPr>
                <w:rFonts w:ascii="Times New Roman" w:hAnsi="Times New Roman" w:cs="Times New Roman"/>
                <w:color w:val="00B050"/>
                <w:sz w:val="16"/>
                <w:szCs w:val="16"/>
              </w:rPr>
            </w:pPr>
            <w:r w:rsidRPr="005E5F89">
              <w:rPr>
                <w:rFonts w:ascii="Times New Roman" w:hAnsi="Times New Roman" w:cs="Times New Roman"/>
                <w:color w:val="00B050"/>
                <w:sz w:val="16"/>
                <w:szCs w:val="16"/>
              </w:rPr>
              <w:t>Çok memnunum</w:t>
            </w:r>
          </w:p>
          <w:p w:rsidR="005E5F89" w:rsidRPr="005E5F89" w:rsidRDefault="005E5F89" w:rsidP="005E5F89">
            <w:pPr>
              <w:ind w:left="113" w:right="113"/>
              <w:jc w:val="center"/>
              <w:rPr>
                <w:rFonts w:ascii="Times New Roman" w:hAnsi="Times New Roman" w:cs="Times New Roman"/>
                <w:color w:val="00B050"/>
                <w:sz w:val="16"/>
                <w:szCs w:val="16"/>
              </w:rPr>
            </w:pPr>
            <w:r w:rsidRPr="005E5F89">
              <w:rPr>
                <w:rFonts w:ascii="Times New Roman" w:hAnsi="Times New Roman" w:cs="Times New Roman"/>
                <w:color w:val="00B050"/>
                <w:sz w:val="16"/>
                <w:szCs w:val="16"/>
              </w:rPr>
              <w:t>&amp;</w:t>
            </w:r>
          </w:p>
          <w:p w:rsidR="005E5F89" w:rsidRPr="005E5F89" w:rsidRDefault="005E5F89" w:rsidP="005E5F89">
            <w:pPr>
              <w:ind w:left="113" w:right="113"/>
              <w:jc w:val="center"/>
              <w:rPr>
                <w:rFonts w:ascii="Times New Roman" w:hAnsi="Times New Roman" w:cs="Times New Roman"/>
                <w:color w:val="00B050"/>
                <w:sz w:val="16"/>
                <w:szCs w:val="16"/>
              </w:rPr>
            </w:pPr>
            <w:r w:rsidRPr="005E5F89">
              <w:rPr>
                <w:rFonts w:ascii="Times New Roman" w:hAnsi="Times New Roman" w:cs="Times New Roman"/>
                <w:color w:val="00B050"/>
                <w:sz w:val="16"/>
                <w:szCs w:val="16"/>
              </w:rPr>
              <w:t>Memnunum</w:t>
            </w:r>
          </w:p>
        </w:tc>
        <w:tc>
          <w:tcPr>
            <w:tcW w:w="709" w:type="dxa"/>
            <w:tcBorders>
              <w:bottom w:val="single" w:sz="4" w:space="0" w:color="auto"/>
            </w:tcBorders>
            <w:textDirection w:val="btLr"/>
            <w:vAlign w:val="center"/>
          </w:tcPr>
          <w:p w:rsidR="005E5F89" w:rsidRPr="005E5F89" w:rsidRDefault="005E5F89" w:rsidP="005E5F89">
            <w:pPr>
              <w:ind w:left="113" w:right="113"/>
              <w:jc w:val="center"/>
              <w:rPr>
                <w:rFonts w:ascii="Times New Roman" w:hAnsi="Times New Roman" w:cs="Times New Roman"/>
                <w:sz w:val="16"/>
                <w:szCs w:val="16"/>
              </w:rPr>
            </w:pPr>
            <w:r w:rsidRPr="005E5F89">
              <w:rPr>
                <w:rFonts w:ascii="Times New Roman" w:hAnsi="Times New Roman" w:cs="Times New Roman"/>
                <w:sz w:val="16"/>
                <w:szCs w:val="16"/>
              </w:rPr>
              <w:t>Kararsızım</w:t>
            </w:r>
          </w:p>
        </w:tc>
        <w:tc>
          <w:tcPr>
            <w:tcW w:w="1276" w:type="dxa"/>
            <w:tcBorders>
              <w:bottom w:val="single" w:sz="4" w:space="0" w:color="auto"/>
            </w:tcBorders>
            <w:shd w:val="clear" w:color="auto" w:fill="FBE4D5" w:themeFill="accent2" w:themeFillTint="33"/>
            <w:textDirection w:val="btLr"/>
            <w:vAlign w:val="center"/>
          </w:tcPr>
          <w:p w:rsidR="005E5F89" w:rsidRPr="005E5F89" w:rsidRDefault="005E5F89" w:rsidP="005E5F89">
            <w:pPr>
              <w:ind w:left="113" w:right="113"/>
              <w:jc w:val="center"/>
              <w:rPr>
                <w:rFonts w:ascii="Times New Roman" w:hAnsi="Times New Roman" w:cs="Times New Roman"/>
                <w:color w:val="C00000"/>
                <w:sz w:val="16"/>
                <w:szCs w:val="16"/>
              </w:rPr>
            </w:pPr>
            <w:r w:rsidRPr="005E5F89">
              <w:rPr>
                <w:rFonts w:ascii="Times New Roman" w:hAnsi="Times New Roman" w:cs="Times New Roman"/>
                <w:color w:val="C00000"/>
                <w:sz w:val="16"/>
                <w:szCs w:val="16"/>
              </w:rPr>
              <w:t>Memnun değilim</w:t>
            </w:r>
          </w:p>
          <w:p w:rsidR="005E5F89" w:rsidRPr="005E5F89" w:rsidRDefault="005E5F89" w:rsidP="005E5F89">
            <w:pPr>
              <w:spacing w:after="60"/>
              <w:ind w:left="113" w:right="113"/>
              <w:jc w:val="center"/>
              <w:rPr>
                <w:rFonts w:ascii="Times New Roman" w:hAnsi="Times New Roman" w:cs="Times New Roman"/>
                <w:color w:val="C00000"/>
                <w:sz w:val="16"/>
                <w:szCs w:val="16"/>
              </w:rPr>
            </w:pPr>
            <w:r w:rsidRPr="005E5F89">
              <w:rPr>
                <w:rFonts w:ascii="Times New Roman" w:hAnsi="Times New Roman" w:cs="Times New Roman"/>
                <w:color w:val="C00000"/>
                <w:sz w:val="16"/>
                <w:szCs w:val="16"/>
              </w:rPr>
              <w:t>&amp;</w:t>
            </w:r>
          </w:p>
          <w:p w:rsidR="005E5F89" w:rsidRPr="005E5F89" w:rsidRDefault="005E5F89" w:rsidP="005E5F89">
            <w:pPr>
              <w:spacing w:after="60"/>
              <w:ind w:left="113" w:right="113"/>
              <w:jc w:val="center"/>
              <w:rPr>
                <w:rFonts w:ascii="Times New Roman" w:hAnsi="Times New Roman" w:cs="Times New Roman"/>
                <w:color w:val="C00000"/>
                <w:sz w:val="16"/>
                <w:szCs w:val="16"/>
              </w:rPr>
            </w:pPr>
            <w:r w:rsidRPr="005E5F89">
              <w:rPr>
                <w:rFonts w:ascii="Times New Roman" w:hAnsi="Times New Roman" w:cs="Times New Roman"/>
                <w:color w:val="C00000"/>
                <w:sz w:val="16"/>
                <w:szCs w:val="16"/>
              </w:rPr>
              <w:t>Hiç memnun değilim</w:t>
            </w:r>
          </w:p>
        </w:tc>
      </w:tr>
      <w:tr w:rsidR="005E5F89" w:rsidRPr="005E5F89" w:rsidTr="00222BFD">
        <w:tc>
          <w:tcPr>
            <w:tcW w:w="426" w:type="dxa"/>
            <w:shd w:val="clear" w:color="auto" w:fill="auto"/>
          </w:tcPr>
          <w:p w:rsidR="005E5F89" w:rsidRPr="005E5F89" w:rsidRDefault="005E5F89" w:rsidP="005E5F89">
            <w:pPr>
              <w:spacing w:before="40" w:after="40"/>
              <w:jc w:val="right"/>
              <w:rPr>
                <w:rFonts w:ascii="Times New Roman" w:hAnsi="Times New Roman" w:cs="Times New Roman"/>
                <w:sz w:val="18"/>
                <w:szCs w:val="18"/>
              </w:rPr>
            </w:pPr>
          </w:p>
        </w:tc>
        <w:tc>
          <w:tcPr>
            <w:tcW w:w="7967" w:type="dxa"/>
            <w:shd w:val="clear" w:color="auto" w:fill="auto"/>
          </w:tcPr>
          <w:p w:rsidR="005E5F89" w:rsidRPr="005E5F89" w:rsidRDefault="005E5F89" w:rsidP="005E5F89">
            <w:pPr>
              <w:spacing w:before="40" w:after="40"/>
              <w:jc w:val="both"/>
              <w:rPr>
                <w:rFonts w:ascii="Times New Roman" w:hAnsi="Times New Roman" w:cs="Times New Roman"/>
                <w:sz w:val="18"/>
                <w:szCs w:val="18"/>
              </w:rPr>
            </w:pPr>
          </w:p>
        </w:tc>
        <w:tc>
          <w:tcPr>
            <w:tcW w:w="992" w:type="dxa"/>
            <w:shd w:val="clear" w:color="auto" w:fill="E7F9FF"/>
            <w:vAlign w:val="center"/>
          </w:tcPr>
          <w:p w:rsidR="005E5F89" w:rsidRPr="005E5F89" w:rsidRDefault="00EA31FA" w:rsidP="00EA31FA">
            <w:pPr>
              <w:spacing w:before="40" w:after="40"/>
              <w:jc w:val="center"/>
              <w:rPr>
                <w:rFonts w:ascii="Times New Roman" w:hAnsi="Times New Roman" w:cs="Times New Roman"/>
                <w:b/>
                <w:color w:val="00B050"/>
                <w:sz w:val="18"/>
                <w:szCs w:val="18"/>
              </w:rPr>
            </w:pPr>
            <w:r w:rsidRPr="000915E1">
              <w:rPr>
                <w:rFonts w:ascii="Times New Roman" w:hAnsi="Times New Roman" w:cs="Times New Roman"/>
                <w:b/>
                <w:color w:val="00B050"/>
                <w:sz w:val="18"/>
                <w:szCs w:val="18"/>
              </w:rPr>
              <w:t>%</w:t>
            </w:r>
          </w:p>
        </w:tc>
        <w:tc>
          <w:tcPr>
            <w:tcW w:w="709" w:type="dxa"/>
            <w:shd w:val="clear" w:color="auto" w:fill="auto"/>
            <w:vAlign w:val="center"/>
          </w:tcPr>
          <w:p w:rsidR="005E5F89" w:rsidRPr="005E5F89" w:rsidRDefault="005E5F89" w:rsidP="00EA31FA">
            <w:pPr>
              <w:spacing w:before="40" w:after="40"/>
              <w:ind w:left="-89" w:right="-130"/>
              <w:jc w:val="center"/>
              <w:rPr>
                <w:rFonts w:ascii="Times New Roman" w:hAnsi="Times New Roman" w:cs="Times New Roman"/>
                <w:sz w:val="18"/>
                <w:szCs w:val="18"/>
              </w:rPr>
            </w:pPr>
            <w:r w:rsidRPr="005E5F89">
              <w:rPr>
                <w:rFonts w:ascii="Times New Roman" w:hAnsi="Times New Roman" w:cs="Times New Roman"/>
                <w:sz w:val="18"/>
                <w:szCs w:val="18"/>
              </w:rPr>
              <w:t>%</w:t>
            </w:r>
          </w:p>
        </w:tc>
        <w:tc>
          <w:tcPr>
            <w:tcW w:w="1276" w:type="dxa"/>
            <w:shd w:val="clear" w:color="auto" w:fill="FCEEE4"/>
            <w:vAlign w:val="center"/>
          </w:tcPr>
          <w:p w:rsidR="005E5F89" w:rsidRPr="005E5F89" w:rsidRDefault="00EA31FA" w:rsidP="00EA31FA">
            <w:pPr>
              <w:spacing w:before="40" w:after="40"/>
              <w:jc w:val="center"/>
              <w:rPr>
                <w:rFonts w:ascii="Times New Roman" w:hAnsi="Times New Roman" w:cs="Times New Roman"/>
                <w:sz w:val="18"/>
                <w:szCs w:val="18"/>
              </w:rPr>
            </w:pPr>
            <w:r>
              <w:rPr>
                <w:rFonts w:ascii="Times New Roman" w:hAnsi="Times New Roman" w:cs="Times New Roman"/>
                <w:sz w:val="18"/>
                <w:szCs w:val="18"/>
              </w:rPr>
              <w:t>%</w:t>
            </w:r>
          </w:p>
        </w:tc>
      </w:tr>
      <w:tr w:rsidR="000915E1" w:rsidRPr="00EA6CFD" w:rsidTr="003F7D4E">
        <w:trPr>
          <w:trHeight w:val="279"/>
        </w:trPr>
        <w:tc>
          <w:tcPr>
            <w:tcW w:w="426" w:type="dxa"/>
            <w:hideMark/>
          </w:tcPr>
          <w:p w:rsidR="00EA6CFD" w:rsidRPr="00FE3184" w:rsidRDefault="00EA6CFD" w:rsidP="00EA6CFD">
            <w:pPr>
              <w:jc w:val="center"/>
              <w:rPr>
                <w:rFonts w:ascii="Times New Roman" w:eastAsia="Times New Roman" w:hAnsi="Times New Roman" w:cs="Times New Roman"/>
                <w:b/>
                <w:color w:val="00B050"/>
                <w:sz w:val="16"/>
                <w:szCs w:val="16"/>
                <w:lang w:eastAsia="tr-TR"/>
              </w:rPr>
            </w:pPr>
            <w:r w:rsidRPr="00FE3184">
              <w:rPr>
                <w:rFonts w:ascii="Times New Roman" w:eastAsia="Times New Roman" w:hAnsi="Times New Roman" w:cs="Times New Roman"/>
                <w:b/>
                <w:color w:val="00B050"/>
                <w:sz w:val="16"/>
                <w:szCs w:val="16"/>
                <w:lang w:eastAsia="tr-TR"/>
              </w:rPr>
              <w:t>1</w:t>
            </w:r>
          </w:p>
        </w:tc>
        <w:tc>
          <w:tcPr>
            <w:tcW w:w="7967" w:type="dxa"/>
            <w:hideMark/>
          </w:tcPr>
          <w:p w:rsidR="00EA6CFD" w:rsidRPr="00FE3184" w:rsidRDefault="00EA6CFD" w:rsidP="00EA6CFD">
            <w:pPr>
              <w:jc w:val="both"/>
              <w:rPr>
                <w:rFonts w:ascii="Times New Roman" w:eastAsia="Times New Roman" w:hAnsi="Times New Roman" w:cs="Times New Roman"/>
                <w:b/>
                <w:color w:val="00B050"/>
                <w:sz w:val="16"/>
                <w:szCs w:val="16"/>
                <w:lang w:eastAsia="tr-TR"/>
              </w:rPr>
            </w:pPr>
            <w:r w:rsidRPr="00FE3184">
              <w:rPr>
                <w:rFonts w:ascii="Times New Roman" w:eastAsia="Times New Roman" w:hAnsi="Times New Roman" w:cs="Times New Roman"/>
                <w:b/>
                <w:color w:val="00B050"/>
                <w:sz w:val="16"/>
                <w:szCs w:val="16"/>
                <w:lang w:eastAsia="tr-TR"/>
              </w:rPr>
              <w:t>Kurum içi iletişim araçlarının (e-posta, duyurular gibi) yeterliliğinden</w:t>
            </w:r>
          </w:p>
        </w:tc>
        <w:tc>
          <w:tcPr>
            <w:tcW w:w="992" w:type="dxa"/>
            <w:shd w:val="clear" w:color="auto" w:fill="DCC5ED"/>
            <w:hideMark/>
          </w:tcPr>
          <w:p w:rsidR="00EA6CFD" w:rsidRPr="00EA6CFD" w:rsidRDefault="00EA6CFD" w:rsidP="000915E1">
            <w:pPr>
              <w:spacing w:before="40" w:after="40"/>
              <w:jc w:val="center"/>
              <w:rPr>
                <w:rFonts w:ascii="Times New Roman" w:hAnsi="Times New Roman" w:cs="Times New Roman"/>
                <w:b/>
                <w:color w:val="00B050"/>
                <w:sz w:val="18"/>
                <w:szCs w:val="18"/>
              </w:rPr>
            </w:pPr>
            <w:r w:rsidRPr="00EA6CFD">
              <w:rPr>
                <w:rFonts w:ascii="Times New Roman" w:hAnsi="Times New Roman" w:cs="Times New Roman"/>
                <w:b/>
                <w:color w:val="00B050"/>
                <w:sz w:val="18"/>
                <w:szCs w:val="18"/>
              </w:rPr>
              <w:t>83,83</w:t>
            </w:r>
          </w:p>
        </w:tc>
        <w:tc>
          <w:tcPr>
            <w:tcW w:w="709"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11,97</w:t>
            </w:r>
          </w:p>
        </w:tc>
        <w:tc>
          <w:tcPr>
            <w:tcW w:w="1276" w:type="dxa"/>
            <w:shd w:val="clear" w:color="auto" w:fill="FCEEE4"/>
            <w:hideMark/>
          </w:tcPr>
          <w:p w:rsidR="00EA6CFD" w:rsidRPr="00EA6CFD" w:rsidRDefault="00EA6CFD" w:rsidP="008D603E">
            <w:pPr>
              <w:spacing w:before="40" w:after="40"/>
              <w:jc w:val="center"/>
              <w:rPr>
                <w:rFonts w:ascii="Times New Roman" w:hAnsi="Times New Roman" w:cs="Times New Roman"/>
                <w:sz w:val="18"/>
                <w:szCs w:val="18"/>
              </w:rPr>
            </w:pPr>
            <w:r w:rsidRPr="00EA6CFD">
              <w:rPr>
                <w:rFonts w:ascii="Times New Roman" w:hAnsi="Times New Roman" w:cs="Times New Roman"/>
                <w:sz w:val="18"/>
                <w:szCs w:val="18"/>
              </w:rPr>
              <w:t>4,20</w:t>
            </w:r>
          </w:p>
        </w:tc>
      </w:tr>
      <w:tr w:rsidR="000915E1" w:rsidRPr="00EA6CFD" w:rsidTr="003F7D4E">
        <w:trPr>
          <w:trHeight w:val="255"/>
        </w:trPr>
        <w:tc>
          <w:tcPr>
            <w:tcW w:w="426"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2</w:t>
            </w:r>
          </w:p>
        </w:tc>
        <w:tc>
          <w:tcPr>
            <w:tcW w:w="7967" w:type="dxa"/>
            <w:hideMark/>
          </w:tcPr>
          <w:p w:rsidR="00EA6CFD" w:rsidRPr="00EA6CFD" w:rsidRDefault="00EA6CFD" w:rsidP="00EA6CFD">
            <w:pPr>
              <w:jc w:val="both"/>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İnternet, bilgi işlem ve öğrenci/akademisyen bilgi sistemi hizmetlerinden</w:t>
            </w:r>
          </w:p>
        </w:tc>
        <w:tc>
          <w:tcPr>
            <w:tcW w:w="992" w:type="dxa"/>
            <w:shd w:val="clear" w:color="auto" w:fill="E7F9FF"/>
            <w:hideMark/>
          </w:tcPr>
          <w:p w:rsidR="00EA6CFD" w:rsidRPr="00EA6CFD" w:rsidRDefault="00EA6CFD" w:rsidP="000915E1">
            <w:pPr>
              <w:spacing w:before="40" w:after="40"/>
              <w:jc w:val="center"/>
              <w:rPr>
                <w:rFonts w:ascii="Times New Roman" w:hAnsi="Times New Roman" w:cs="Times New Roman"/>
                <w:b/>
                <w:color w:val="00B050"/>
                <w:sz w:val="18"/>
                <w:szCs w:val="18"/>
              </w:rPr>
            </w:pPr>
            <w:r w:rsidRPr="00EA6CFD">
              <w:rPr>
                <w:rFonts w:ascii="Times New Roman" w:hAnsi="Times New Roman" w:cs="Times New Roman"/>
                <w:b/>
                <w:color w:val="00B050"/>
                <w:sz w:val="18"/>
                <w:szCs w:val="18"/>
              </w:rPr>
              <w:t>77,25</w:t>
            </w:r>
          </w:p>
        </w:tc>
        <w:tc>
          <w:tcPr>
            <w:tcW w:w="709"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18,56</w:t>
            </w:r>
          </w:p>
        </w:tc>
        <w:tc>
          <w:tcPr>
            <w:tcW w:w="1276" w:type="dxa"/>
            <w:shd w:val="clear" w:color="auto" w:fill="FCEEE4"/>
            <w:hideMark/>
          </w:tcPr>
          <w:p w:rsidR="00EA6CFD" w:rsidRPr="00EA6CFD" w:rsidRDefault="00EA6CFD" w:rsidP="008D603E">
            <w:pPr>
              <w:spacing w:before="40" w:after="40"/>
              <w:jc w:val="center"/>
              <w:rPr>
                <w:rFonts w:ascii="Times New Roman" w:hAnsi="Times New Roman" w:cs="Times New Roman"/>
                <w:sz w:val="18"/>
                <w:szCs w:val="18"/>
              </w:rPr>
            </w:pPr>
            <w:r w:rsidRPr="00EA6CFD">
              <w:rPr>
                <w:rFonts w:ascii="Times New Roman" w:hAnsi="Times New Roman" w:cs="Times New Roman"/>
                <w:sz w:val="18"/>
                <w:szCs w:val="18"/>
              </w:rPr>
              <w:t>4,19</w:t>
            </w:r>
          </w:p>
        </w:tc>
      </w:tr>
      <w:tr w:rsidR="000915E1" w:rsidRPr="00EA6CFD" w:rsidTr="003F7D4E">
        <w:trPr>
          <w:trHeight w:val="246"/>
        </w:trPr>
        <w:tc>
          <w:tcPr>
            <w:tcW w:w="426"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3</w:t>
            </w:r>
          </w:p>
        </w:tc>
        <w:tc>
          <w:tcPr>
            <w:tcW w:w="7967" w:type="dxa"/>
            <w:hideMark/>
          </w:tcPr>
          <w:p w:rsidR="00EA6CFD" w:rsidRPr="00EA6CFD" w:rsidRDefault="00EA6CFD" w:rsidP="00EA6CFD">
            <w:pPr>
              <w:jc w:val="both"/>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Görev yaptığım birim web sayfasının tasarım ve içeriğinden</w:t>
            </w:r>
          </w:p>
        </w:tc>
        <w:tc>
          <w:tcPr>
            <w:tcW w:w="992" w:type="dxa"/>
            <w:shd w:val="clear" w:color="auto" w:fill="E7F9FF"/>
            <w:hideMark/>
          </w:tcPr>
          <w:p w:rsidR="00EA6CFD" w:rsidRPr="00EA6CFD" w:rsidRDefault="00EA6CFD" w:rsidP="000915E1">
            <w:pPr>
              <w:spacing w:before="40" w:after="40"/>
              <w:jc w:val="center"/>
              <w:rPr>
                <w:rFonts w:ascii="Times New Roman" w:hAnsi="Times New Roman" w:cs="Times New Roman"/>
                <w:b/>
                <w:color w:val="00B050"/>
                <w:sz w:val="18"/>
                <w:szCs w:val="18"/>
              </w:rPr>
            </w:pPr>
            <w:r w:rsidRPr="00EA6CFD">
              <w:rPr>
                <w:rFonts w:ascii="Times New Roman" w:hAnsi="Times New Roman" w:cs="Times New Roman"/>
                <w:b/>
                <w:color w:val="00B050"/>
                <w:sz w:val="18"/>
                <w:szCs w:val="18"/>
              </w:rPr>
              <w:t>76,05</w:t>
            </w:r>
          </w:p>
        </w:tc>
        <w:tc>
          <w:tcPr>
            <w:tcW w:w="709"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17,96</w:t>
            </w:r>
          </w:p>
        </w:tc>
        <w:tc>
          <w:tcPr>
            <w:tcW w:w="1276" w:type="dxa"/>
            <w:shd w:val="clear" w:color="auto" w:fill="FCEEE4"/>
            <w:hideMark/>
          </w:tcPr>
          <w:p w:rsidR="00EA6CFD" w:rsidRPr="00EA6CFD" w:rsidRDefault="00EA6CFD" w:rsidP="008D603E">
            <w:pPr>
              <w:spacing w:before="40" w:after="40"/>
              <w:jc w:val="center"/>
              <w:rPr>
                <w:rFonts w:ascii="Times New Roman" w:hAnsi="Times New Roman" w:cs="Times New Roman"/>
                <w:sz w:val="18"/>
                <w:szCs w:val="18"/>
              </w:rPr>
            </w:pPr>
            <w:r w:rsidRPr="00EA6CFD">
              <w:rPr>
                <w:rFonts w:ascii="Times New Roman" w:hAnsi="Times New Roman" w:cs="Times New Roman"/>
                <w:sz w:val="18"/>
                <w:szCs w:val="18"/>
              </w:rPr>
              <w:t>5,99</w:t>
            </w:r>
          </w:p>
        </w:tc>
      </w:tr>
      <w:tr w:rsidR="000915E1" w:rsidRPr="00EA6CFD" w:rsidTr="003F7D4E">
        <w:trPr>
          <w:trHeight w:val="235"/>
        </w:trPr>
        <w:tc>
          <w:tcPr>
            <w:tcW w:w="426"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4</w:t>
            </w:r>
          </w:p>
        </w:tc>
        <w:tc>
          <w:tcPr>
            <w:tcW w:w="7967" w:type="dxa"/>
            <w:hideMark/>
          </w:tcPr>
          <w:p w:rsidR="00EA6CFD" w:rsidRPr="00EA6CFD" w:rsidRDefault="00EA6CFD" w:rsidP="00EA6CFD">
            <w:pPr>
              <w:jc w:val="both"/>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Üniversitemiz web sayfasının tasarım ve içeriğinden</w:t>
            </w:r>
          </w:p>
        </w:tc>
        <w:tc>
          <w:tcPr>
            <w:tcW w:w="992" w:type="dxa"/>
            <w:shd w:val="clear" w:color="auto" w:fill="E7F9FF"/>
            <w:hideMark/>
          </w:tcPr>
          <w:p w:rsidR="00EA6CFD" w:rsidRPr="00EA6CFD" w:rsidRDefault="00EA6CFD" w:rsidP="000915E1">
            <w:pPr>
              <w:spacing w:before="40" w:after="40"/>
              <w:jc w:val="center"/>
              <w:rPr>
                <w:rFonts w:ascii="Times New Roman" w:hAnsi="Times New Roman" w:cs="Times New Roman"/>
                <w:b/>
                <w:color w:val="00B050"/>
                <w:sz w:val="18"/>
                <w:szCs w:val="18"/>
              </w:rPr>
            </w:pPr>
            <w:r w:rsidRPr="00EA6CFD">
              <w:rPr>
                <w:rFonts w:ascii="Times New Roman" w:hAnsi="Times New Roman" w:cs="Times New Roman"/>
                <w:b/>
                <w:color w:val="00B050"/>
                <w:sz w:val="18"/>
                <w:szCs w:val="18"/>
              </w:rPr>
              <w:t>73,66</w:t>
            </w:r>
          </w:p>
        </w:tc>
        <w:tc>
          <w:tcPr>
            <w:tcW w:w="709"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18,56</w:t>
            </w:r>
          </w:p>
        </w:tc>
        <w:tc>
          <w:tcPr>
            <w:tcW w:w="1276" w:type="dxa"/>
            <w:shd w:val="clear" w:color="auto" w:fill="FCEEE4"/>
            <w:hideMark/>
          </w:tcPr>
          <w:p w:rsidR="00EA6CFD" w:rsidRPr="00EA6CFD" w:rsidRDefault="00EA6CFD" w:rsidP="008D603E">
            <w:pPr>
              <w:spacing w:before="40" w:after="40"/>
              <w:jc w:val="center"/>
              <w:rPr>
                <w:rFonts w:ascii="Times New Roman" w:hAnsi="Times New Roman" w:cs="Times New Roman"/>
                <w:sz w:val="18"/>
                <w:szCs w:val="18"/>
              </w:rPr>
            </w:pPr>
            <w:r w:rsidRPr="00EA6CFD">
              <w:rPr>
                <w:rFonts w:ascii="Times New Roman" w:hAnsi="Times New Roman" w:cs="Times New Roman"/>
                <w:sz w:val="18"/>
                <w:szCs w:val="18"/>
              </w:rPr>
              <w:t>7,78</w:t>
            </w:r>
          </w:p>
        </w:tc>
      </w:tr>
      <w:tr w:rsidR="000915E1" w:rsidRPr="00EA6CFD" w:rsidTr="003F7D4E">
        <w:trPr>
          <w:trHeight w:val="212"/>
        </w:trPr>
        <w:tc>
          <w:tcPr>
            <w:tcW w:w="426"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5</w:t>
            </w:r>
          </w:p>
        </w:tc>
        <w:tc>
          <w:tcPr>
            <w:tcW w:w="7967" w:type="dxa"/>
            <w:hideMark/>
          </w:tcPr>
          <w:p w:rsidR="00EA6CFD" w:rsidRPr="00EA6CFD" w:rsidRDefault="00EA6CFD" w:rsidP="00EA6CFD">
            <w:pPr>
              <w:jc w:val="both"/>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Birim yöneticilerine ulaşılabilirlikten</w:t>
            </w:r>
          </w:p>
        </w:tc>
        <w:tc>
          <w:tcPr>
            <w:tcW w:w="992" w:type="dxa"/>
            <w:shd w:val="clear" w:color="auto" w:fill="E7F9FF"/>
            <w:hideMark/>
          </w:tcPr>
          <w:p w:rsidR="00EA6CFD" w:rsidRPr="00EA6CFD" w:rsidRDefault="00EA6CFD" w:rsidP="000915E1">
            <w:pPr>
              <w:spacing w:before="40" w:after="40"/>
              <w:jc w:val="center"/>
              <w:rPr>
                <w:rFonts w:ascii="Times New Roman" w:hAnsi="Times New Roman" w:cs="Times New Roman"/>
                <w:b/>
                <w:color w:val="00B050"/>
                <w:sz w:val="18"/>
                <w:szCs w:val="18"/>
              </w:rPr>
            </w:pPr>
            <w:r w:rsidRPr="00EA6CFD">
              <w:rPr>
                <w:rFonts w:ascii="Times New Roman" w:hAnsi="Times New Roman" w:cs="Times New Roman"/>
                <w:b/>
                <w:color w:val="00B050"/>
                <w:sz w:val="18"/>
                <w:szCs w:val="18"/>
              </w:rPr>
              <w:t>73,65</w:t>
            </w:r>
          </w:p>
        </w:tc>
        <w:tc>
          <w:tcPr>
            <w:tcW w:w="709"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14,37</w:t>
            </w:r>
          </w:p>
        </w:tc>
        <w:tc>
          <w:tcPr>
            <w:tcW w:w="1276" w:type="dxa"/>
            <w:shd w:val="clear" w:color="auto" w:fill="FCEEE4"/>
            <w:hideMark/>
          </w:tcPr>
          <w:p w:rsidR="00EA6CFD" w:rsidRPr="00EA6CFD" w:rsidRDefault="00EA6CFD" w:rsidP="008D603E">
            <w:pPr>
              <w:spacing w:before="40" w:after="40"/>
              <w:jc w:val="center"/>
              <w:rPr>
                <w:rFonts w:ascii="Times New Roman" w:hAnsi="Times New Roman" w:cs="Times New Roman"/>
                <w:sz w:val="18"/>
                <w:szCs w:val="18"/>
              </w:rPr>
            </w:pPr>
            <w:r w:rsidRPr="00EA6CFD">
              <w:rPr>
                <w:rFonts w:ascii="Times New Roman" w:hAnsi="Times New Roman" w:cs="Times New Roman"/>
                <w:sz w:val="18"/>
                <w:szCs w:val="18"/>
              </w:rPr>
              <w:t>11,98</w:t>
            </w:r>
          </w:p>
        </w:tc>
      </w:tr>
      <w:tr w:rsidR="000915E1" w:rsidRPr="00EA6CFD" w:rsidTr="003F7D4E">
        <w:trPr>
          <w:trHeight w:val="201"/>
        </w:trPr>
        <w:tc>
          <w:tcPr>
            <w:tcW w:w="426"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6</w:t>
            </w:r>
          </w:p>
        </w:tc>
        <w:tc>
          <w:tcPr>
            <w:tcW w:w="7967" w:type="dxa"/>
            <w:hideMark/>
          </w:tcPr>
          <w:p w:rsidR="00EA6CFD" w:rsidRPr="00EA6CFD" w:rsidRDefault="00EA6CFD" w:rsidP="00EA6CFD">
            <w:pPr>
              <w:jc w:val="both"/>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Görev yaptığım birimin bir mensubu olmaktan</w:t>
            </w:r>
          </w:p>
        </w:tc>
        <w:tc>
          <w:tcPr>
            <w:tcW w:w="992" w:type="dxa"/>
            <w:shd w:val="clear" w:color="auto" w:fill="E7F9FF"/>
            <w:hideMark/>
          </w:tcPr>
          <w:p w:rsidR="00EA6CFD" w:rsidRPr="00EA6CFD" w:rsidRDefault="00EA6CFD" w:rsidP="000915E1">
            <w:pPr>
              <w:spacing w:before="40" w:after="40"/>
              <w:jc w:val="center"/>
              <w:rPr>
                <w:rFonts w:ascii="Times New Roman" w:hAnsi="Times New Roman" w:cs="Times New Roman"/>
                <w:b/>
                <w:color w:val="00B050"/>
                <w:sz w:val="18"/>
                <w:szCs w:val="18"/>
              </w:rPr>
            </w:pPr>
            <w:r w:rsidRPr="00EA6CFD">
              <w:rPr>
                <w:rFonts w:ascii="Times New Roman" w:hAnsi="Times New Roman" w:cs="Times New Roman"/>
                <w:b/>
                <w:color w:val="00B050"/>
                <w:sz w:val="18"/>
                <w:szCs w:val="18"/>
              </w:rPr>
              <w:t>69,46</w:t>
            </w:r>
          </w:p>
        </w:tc>
        <w:tc>
          <w:tcPr>
            <w:tcW w:w="709"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15,57</w:t>
            </w:r>
          </w:p>
        </w:tc>
        <w:tc>
          <w:tcPr>
            <w:tcW w:w="1276" w:type="dxa"/>
            <w:shd w:val="clear" w:color="auto" w:fill="FCEEE4"/>
            <w:hideMark/>
          </w:tcPr>
          <w:p w:rsidR="00EA6CFD" w:rsidRPr="00EA6CFD" w:rsidRDefault="00EA6CFD" w:rsidP="008D603E">
            <w:pPr>
              <w:spacing w:before="40" w:after="40"/>
              <w:jc w:val="center"/>
              <w:rPr>
                <w:rFonts w:ascii="Times New Roman" w:hAnsi="Times New Roman" w:cs="Times New Roman"/>
                <w:sz w:val="18"/>
                <w:szCs w:val="18"/>
              </w:rPr>
            </w:pPr>
            <w:r w:rsidRPr="00EA6CFD">
              <w:rPr>
                <w:rFonts w:ascii="Times New Roman" w:hAnsi="Times New Roman" w:cs="Times New Roman"/>
                <w:sz w:val="18"/>
                <w:szCs w:val="18"/>
              </w:rPr>
              <w:t>14,97</w:t>
            </w:r>
          </w:p>
        </w:tc>
      </w:tr>
      <w:tr w:rsidR="000915E1" w:rsidRPr="00EA6CFD" w:rsidTr="003F7D4E">
        <w:trPr>
          <w:trHeight w:val="192"/>
        </w:trPr>
        <w:tc>
          <w:tcPr>
            <w:tcW w:w="426"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7</w:t>
            </w:r>
          </w:p>
        </w:tc>
        <w:tc>
          <w:tcPr>
            <w:tcW w:w="7967" w:type="dxa"/>
            <w:hideMark/>
          </w:tcPr>
          <w:p w:rsidR="00EA6CFD" w:rsidRPr="00EA6CFD" w:rsidRDefault="00EA6CFD" w:rsidP="00EA6CFD">
            <w:pPr>
              <w:jc w:val="both"/>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Üniversitemizin bir mensubu olmaktan (Üniversiteye ilişkin genel memnuniyet)</w:t>
            </w:r>
          </w:p>
        </w:tc>
        <w:tc>
          <w:tcPr>
            <w:tcW w:w="992" w:type="dxa"/>
            <w:shd w:val="clear" w:color="auto" w:fill="E7F9FF"/>
            <w:hideMark/>
          </w:tcPr>
          <w:p w:rsidR="00EA6CFD" w:rsidRPr="00EA6CFD" w:rsidRDefault="00EA6CFD" w:rsidP="000915E1">
            <w:pPr>
              <w:spacing w:before="40" w:after="40"/>
              <w:jc w:val="center"/>
              <w:rPr>
                <w:rFonts w:ascii="Times New Roman" w:hAnsi="Times New Roman" w:cs="Times New Roman"/>
                <w:b/>
                <w:color w:val="00B050"/>
                <w:sz w:val="18"/>
                <w:szCs w:val="18"/>
              </w:rPr>
            </w:pPr>
            <w:r w:rsidRPr="00EA6CFD">
              <w:rPr>
                <w:rFonts w:ascii="Times New Roman" w:hAnsi="Times New Roman" w:cs="Times New Roman"/>
                <w:b/>
                <w:color w:val="00B050"/>
                <w:sz w:val="18"/>
                <w:szCs w:val="18"/>
              </w:rPr>
              <w:t>68,86</w:t>
            </w:r>
          </w:p>
        </w:tc>
        <w:tc>
          <w:tcPr>
            <w:tcW w:w="709"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16,77</w:t>
            </w:r>
          </w:p>
        </w:tc>
        <w:tc>
          <w:tcPr>
            <w:tcW w:w="1276" w:type="dxa"/>
            <w:shd w:val="clear" w:color="auto" w:fill="FCEEE4"/>
            <w:hideMark/>
          </w:tcPr>
          <w:p w:rsidR="00EA6CFD" w:rsidRPr="00EA6CFD" w:rsidRDefault="00EA6CFD" w:rsidP="008D603E">
            <w:pPr>
              <w:spacing w:before="40" w:after="40"/>
              <w:jc w:val="center"/>
              <w:rPr>
                <w:rFonts w:ascii="Times New Roman" w:hAnsi="Times New Roman" w:cs="Times New Roman"/>
                <w:sz w:val="18"/>
                <w:szCs w:val="18"/>
              </w:rPr>
            </w:pPr>
            <w:r w:rsidRPr="00EA6CFD">
              <w:rPr>
                <w:rFonts w:ascii="Times New Roman" w:hAnsi="Times New Roman" w:cs="Times New Roman"/>
                <w:sz w:val="18"/>
                <w:szCs w:val="18"/>
              </w:rPr>
              <w:t>14,37</w:t>
            </w:r>
          </w:p>
        </w:tc>
      </w:tr>
      <w:tr w:rsidR="000915E1" w:rsidRPr="00EA6CFD" w:rsidTr="003F7D4E">
        <w:trPr>
          <w:trHeight w:val="167"/>
        </w:trPr>
        <w:tc>
          <w:tcPr>
            <w:tcW w:w="426"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8</w:t>
            </w:r>
          </w:p>
        </w:tc>
        <w:tc>
          <w:tcPr>
            <w:tcW w:w="7967" w:type="dxa"/>
            <w:hideMark/>
          </w:tcPr>
          <w:p w:rsidR="00EA6CFD" w:rsidRPr="00EA6CFD" w:rsidRDefault="00EA6CFD" w:rsidP="00EA6CFD">
            <w:pPr>
              <w:jc w:val="both"/>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Binalar ve ofislerin temizliğinden</w:t>
            </w:r>
          </w:p>
        </w:tc>
        <w:tc>
          <w:tcPr>
            <w:tcW w:w="992" w:type="dxa"/>
            <w:shd w:val="clear" w:color="auto" w:fill="E7F9FF"/>
            <w:hideMark/>
          </w:tcPr>
          <w:p w:rsidR="00EA6CFD" w:rsidRPr="00EA6CFD" w:rsidRDefault="00EA6CFD" w:rsidP="000915E1">
            <w:pPr>
              <w:spacing w:before="40" w:after="40"/>
              <w:jc w:val="center"/>
              <w:rPr>
                <w:rFonts w:ascii="Times New Roman" w:hAnsi="Times New Roman" w:cs="Times New Roman"/>
                <w:b/>
                <w:color w:val="00B050"/>
                <w:sz w:val="18"/>
                <w:szCs w:val="18"/>
              </w:rPr>
            </w:pPr>
            <w:r w:rsidRPr="00EA6CFD">
              <w:rPr>
                <w:rFonts w:ascii="Times New Roman" w:hAnsi="Times New Roman" w:cs="Times New Roman"/>
                <w:b/>
                <w:color w:val="00B050"/>
                <w:sz w:val="18"/>
                <w:szCs w:val="18"/>
              </w:rPr>
              <w:t>68,27</w:t>
            </w:r>
          </w:p>
        </w:tc>
        <w:tc>
          <w:tcPr>
            <w:tcW w:w="709"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13,17</w:t>
            </w:r>
          </w:p>
        </w:tc>
        <w:tc>
          <w:tcPr>
            <w:tcW w:w="1276" w:type="dxa"/>
            <w:shd w:val="clear" w:color="auto" w:fill="FCEEE4"/>
            <w:hideMark/>
          </w:tcPr>
          <w:p w:rsidR="00EA6CFD" w:rsidRPr="00EA6CFD" w:rsidRDefault="00EA6CFD" w:rsidP="008D603E">
            <w:pPr>
              <w:spacing w:before="40" w:after="40"/>
              <w:jc w:val="center"/>
              <w:rPr>
                <w:rFonts w:ascii="Times New Roman" w:hAnsi="Times New Roman" w:cs="Times New Roman"/>
                <w:sz w:val="18"/>
                <w:szCs w:val="18"/>
              </w:rPr>
            </w:pPr>
            <w:r w:rsidRPr="00EA6CFD">
              <w:rPr>
                <w:rFonts w:ascii="Times New Roman" w:hAnsi="Times New Roman" w:cs="Times New Roman"/>
                <w:sz w:val="18"/>
                <w:szCs w:val="18"/>
              </w:rPr>
              <w:t>18,56</w:t>
            </w:r>
          </w:p>
        </w:tc>
      </w:tr>
      <w:tr w:rsidR="000915E1" w:rsidRPr="00EA6CFD" w:rsidTr="003F7D4E">
        <w:trPr>
          <w:trHeight w:val="300"/>
        </w:trPr>
        <w:tc>
          <w:tcPr>
            <w:tcW w:w="426"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9</w:t>
            </w:r>
          </w:p>
        </w:tc>
        <w:tc>
          <w:tcPr>
            <w:tcW w:w="7967" w:type="dxa"/>
            <w:hideMark/>
          </w:tcPr>
          <w:p w:rsidR="00EA6CFD" w:rsidRPr="00EA6CFD" w:rsidRDefault="00EA6CFD" w:rsidP="00EA6CFD">
            <w:pPr>
              <w:jc w:val="both"/>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Kampüs alanının genel temizliğinden</w:t>
            </w:r>
          </w:p>
        </w:tc>
        <w:tc>
          <w:tcPr>
            <w:tcW w:w="992" w:type="dxa"/>
            <w:shd w:val="clear" w:color="auto" w:fill="E7F9FF"/>
            <w:hideMark/>
          </w:tcPr>
          <w:p w:rsidR="00EA6CFD" w:rsidRPr="00EA6CFD" w:rsidRDefault="00EA6CFD" w:rsidP="000915E1">
            <w:pPr>
              <w:spacing w:before="40" w:after="40"/>
              <w:jc w:val="center"/>
              <w:rPr>
                <w:rFonts w:ascii="Times New Roman" w:hAnsi="Times New Roman" w:cs="Times New Roman"/>
                <w:b/>
                <w:color w:val="00B050"/>
                <w:sz w:val="18"/>
                <w:szCs w:val="18"/>
              </w:rPr>
            </w:pPr>
            <w:r w:rsidRPr="00EA6CFD">
              <w:rPr>
                <w:rFonts w:ascii="Times New Roman" w:hAnsi="Times New Roman" w:cs="Times New Roman"/>
                <w:b/>
                <w:color w:val="00B050"/>
                <w:sz w:val="18"/>
                <w:szCs w:val="18"/>
              </w:rPr>
              <w:t>67,06</w:t>
            </w:r>
          </w:p>
        </w:tc>
        <w:tc>
          <w:tcPr>
            <w:tcW w:w="709"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14,98</w:t>
            </w:r>
          </w:p>
        </w:tc>
        <w:tc>
          <w:tcPr>
            <w:tcW w:w="1276" w:type="dxa"/>
            <w:shd w:val="clear" w:color="auto" w:fill="FCEEE4"/>
            <w:hideMark/>
          </w:tcPr>
          <w:p w:rsidR="00EA6CFD" w:rsidRPr="00EA6CFD" w:rsidRDefault="00EA6CFD" w:rsidP="008D603E">
            <w:pPr>
              <w:spacing w:before="40" w:after="40"/>
              <w:jc w:val="center"/>
              <w:rPr>
                <w:rFonts w:ascii="Times New Roman" w:hAnsi="Times New Roman" w:cs="Times New Roman"/>
                <w:sz w:val="18"/>
                <w:szCs w:val="18"/>
              </w:rPr>
            </w:pPr>
            <w:r w:rsidRPr="00EA6CFD">
              <w:rPr>
                <w:rFonts w:ascii="Times New Roman" w:hAnsi="Times New Roman" w:cs="Times New Roman"/>
                <w:sz w:val="18"/>
                <w:szCs w:val="18"/>
              </w:rPr>
              <w:t>17,96</w:t>
            </w:r>
          </w:p>
        </w:tc>
      </w:tr>
      <w:tr w:rsidR="000915E1" w:rsidRPr="00EA6CFD" w:rsidTr="003F7D4E">
        <w:trPr>
          <w:trHeight w:val="275"/>
        </w:trPr>
        <w:tc>
          <w:tcPr>
            <w:tcW w:w="426"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10</w:t>
            </w:r>
          </w:p>
        </w:tc>
        <w:tc>
          <w:tcPr>
            <w:tcW w:w="7967" w:type="dxa"/>
            <w:hideMark/>
          </w:tcPr>
          <w:p w:rsidR="00EA6CFD" w:rsidRPr="00EA6CFD" w:rsidRDefault="00EA6CFD" w:rsidP="00EA6CFD">
            <w:pPr>
              <w:jc w:val="both"/>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Güvenlik tedbirlerinin (yangın, deprem, güvenlik hizmetleri …) yeterliliğinden</w:t>
            </w:r>
          </w:p>
        </w:tc>
        <w:tc>
          <w:tcPr>
            <w:tcW w:w="992" w:type="dxa"/>
            <w:shd w:val="clear" w:color="auto" w:fill="E7F9FF"/>
            <w:hideMark/>
          </w:tcPr>
          <w:p w:rsidR="00EA6CFD" w:rsidRPr="00EA6CFD" w:rsidRDefault="00EA6CFD" w:rsidP="000915E1">
            <w:pPr>
              <w:spacing w:before="40" w:after="40"/>
              <w:jc w:val="center"/>
              <w:rPr>
                <w:rFonts w:ascii="Times New Roman" w:hAnsi="Times New Roman" w:cs="Times New Roman"/>
                <w:b/>
                <w:color w:val="00B050"/>
                <w:sz w:val="18"/>
                <w:szCs w:val="18"/>
              </w:rPr>
            </w:pPr>
            <w:r w:rsidRPr="00EA6CFD">
              <w:rPr>
                <w:rFonts w:ascii="Times New Roman" w:hAnsi="Times New Roman" w:cs="Times New Roman"/>
                <w:b/>
                <w:color w:val="00B050"/>
                <w:sz w:val="18"/>
                <w:szCs w:val="18"/>
              </w:rPr>
              <w:t>64,08</w:t>
            </w:r>
          </w:p>
        </w:tc>
        <w:tc>
          <w:tcPr>
            <w:tcW w:w="709"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23,35</w:t>
            </w:r>
          </w:p>
        </w:tc>
        <w:tc>
          <w:tcPr>
            <w:tcW w:w="1276" w:type="dxa"/>
            <w:shd w:val="clear" w:color="auto" w:fill="FCEEE4"/>
            <w:hideMark/>
          </w:tcPr>
          <w:p w:rsidR="00EA6CFD" w:rsidRPr="00EA6CFD" w:rsidRDefault="00EA6CFD" w:rsidP="008D603E">
            <w:pPr>
              <w:spacing w:before="40" w:after="40"/>
              <w:jc w:val="center"/>
              <w:rPr>
                <w:rFonts w:ascii="Times New Roman" w:hAnsi="Times New Roman" w:cs="Times New Roman"/>
                <w:sz w:val="18"/>
                <w:szCs w:val="18"/>
              </w:rPr>
            </w:pPr>
            <w:r w:rsidRPr="00EA6CFD">
              <w:rPr>
                <w:rFonts w:ascii="Times New Roman" w:hAnsi="Times New Roman" w:cs="Times New Roman"/>
                <w:sz w:val="18"/>
                <w:szCs w:val="18"/>
              </w:rPr>
              <w:t>12,57</w:t>
            </w:r>
          </w:p>
        </w:tc>
      </w:tr>
      <w:tr w:rsidR="000915E1" w:rsidRPr="00EA6CFD" w:rsidTr="003F7D4E">
        <w:trPr>
          <w:trHeight w:val="266"/>
        </w:trPr>
        <w:tc>
          <w:tcPr>
            <w:tcW w:w="426"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11</w:t>
            </w:r>
          </w:p>
        </w:tc>
        <w:tc>
          <w:tcPr>
            <w:tcW w:w="7967" w:type="dxa"/>
            <w:hideMark/>
          </w:tcPr>
          <w:p w:rsidR="00EA6CFD" w:rsidRPr="00EA6CFD" w:rsidRDefault="00EA6CFD" w:rsidP="00EA6CFD">
            <w:pPr>
              <w:jc w:val="both"/>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Yemekhane, kafeterya ve kantin hizmetlerinden</w:t>
            </w:r>
          </w:p>
        </w:tc>
        <w:tc>
          <w:tcPr>
            <w:tcW w:w="992" w:type="dxa"/>
            <w:shd w:val="clear" w:color="auto" w:fill="E7F9FF"/>
            <w:hideMark/>
          </w:tcPr>
          <w:p w:rsidR="00EA6CFD" w:rsidRPr="00EA6CFD" w:rsidRDefault="00EA6CFD" w:rsidP="000915E1">
            <w:pPr>
              <w:spacing w:before="40" w:after="40"/>
              <w:jc w:val="center"/>
              <w:rPr>
                <w:rFonts w:ascii="Times New Roman" w:hAnsi="Times New Roman" w:cs="Times New Roman"/>
                <w:b/>
                <w:color w:val="00B050"/>
                <w:sz w:val="18"/>
                <w:szCs w:val="18"/>
              </w:rPr>
            </w:pPr>
            <w:r w:rsidRPr="00EA6CFD">
              <w:rPr>
                <w:rFonts w:ascii="Times New Roman" w:hAnsi="Times New Roman" w:cs="Times New Roman"/>
                <w:b/>
                <w:color w:val="00B050"/>
                <w:sz w:val="18"/>
                <w:szCs w:val="18"/>
              </w:rPr>
              <w:t>63,47</w:t>
            </w:r>
          </w:p>
        </w:tc>
        <w:tc>
          <w:tcPr>
            <w:tcW w:w="709"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16,17</w:t>
            </w:r>
          </w:p>
        </w:tc>
        <w:tc>
          <w:tcPr>
            <w:tcW w:w="1276" w:type="dxa"/>
            <w:shd w:val="clear" w:color="auto" w:fill="FCEEE4"/>
            <w:hideMark/>
          </w:tcPr>
          <w:p w:rsidR="00EA6CFD" w:rsidRPr="00EA6CFD" w:rsidRDefault="00EA6CFD" w:rsidP="008D603E">
            <w:pPr>
              <w:spacing w:before="40" w:after="40"/>
              <w:jc w:val="center"/>
              <w:rPr>
                <w:rFonts w:ascii="Times New Roman" w:hAnsi="Times New Roman" w:cs="Times New Roman"/>
                <w:sz w:val="18"/>
                <w:szCs w:val="18"/>
              </w:rPr>
            </w:pPr>
            <w:r w:rsidRPr="00EA6CFD">
              <w:rPr>
                <w:rFonts w:ascii="Times New Roman" w:hAnsi="Times New Roman" w:cs="Times New Roman"/>
                <w:sz w:val="18"/>
                <w:szCs w:val="18"/>
              </w:rPr>
              <w:t>20,36</w:t>
            </w:r>
          </w:p>
        </w:tc>
      </w:tr>
      <w:tr w:rsidR="000915E1" w:rsidRPr="00EA6CFD" w:rsidTr="00AF3FE9">
        <w:trPr>
          <w:trHeight w:val="241"/>
        </w:trPr>
        <w:tc>
          <w:tcPr>
            <w:tcW w:w="426"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12</w:t>
            </w:r>
          </w:p>
        </w:tc>
        <w:tc>
          <w:tcPr>
            <w:tcW w:w="7967" w:type="dxa"/>
            <w:hideMark/>
          </w:tcPr>
          <w:p w:rsidR="00EA6CFD" w:rsidRPr="00EA6CFD" w:rsidRDefault="00EA6CFD" w:rsidP="00EA6CFD">
            <w:pPr>
              <w:jc w:val="both"/>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Ofislerin fiziki ve donanımsal (bilgisayar, yazıcı, dolap gibi) yeterliliğinden</w:t>
            </w:r>
          </w:p>
        </w:tc>
        <w:tc>
          <w:tcPr>
            <w:tcW w:w="992" w:type="dxa"/>
            <w:shd w:val="clear" w:color="auto" w:fill="E7F9FF"/>
            <w:hideMark/>
          </w:tcPr>
          <w:p w:rsidR="00EA6CFD" w:rsidRPr="00EA6CFD" w:rsidRDefault="00EA6CFD" w:rsidP="000915E1">
            <w:pPr>
              <w:spacing w:before="40" w:after="40"/>
              <w:jc w:val="center"/>
              <w:rPr>
                <w:rFonts w:ascii="Times New Roman" w:hAnsi="Times New Roman" w:cs="Times New Roman"/>
                <w:b/>
                <w:color w:val="00B050"/>
                <w:sz w:val="18"/>
                <w:szCs w:val="18"/>
              </w:rPr>
            </w:pPr>
            <w:r w:rsidRPr="00EA6CFD">
              <w:rPr>
                <w:rFonts w:ascii="Times New Roman" w:hAnsi="Times New Roman" w:cs="Times New Roman"/>
                <w:b/>
                <w:color w:val="00B050"/>
                <w:sz w:val="18"/>
                <w:szCs w:val="18"/>
              </w:rPr>
              <w:t>62,87</w:t>
            </w:r>
          </w:p>
        </w:tc>
        <w:tc>
          <w:tcPr>
            <w:tcW w:w="709"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16,17</w:t>
            </w:r>
          </w:p>
        </w:tc>
        <w:tc>
          <w:tcPr>
            <w:tcW w:w="1276" w:type="dxa"/>
            <w:shd w:val="clear" w:color="auto" w:fill="FCEEE4"/>
            <w:hideMark/>
          </w:tcPr>
          <w:p w:rsidR="00EA6CFD" w:rsidRPr="00EA6CFD" w:rsidRDefault="00EA6CFD" w:rsidP="008D603E">
            <w:pPr>
              <w:spacing w:before="40" w:after="40"/>
              <w:jc w:val="center"/>
              <w:rPr>
                <w:rFonts w:ascii="Times New Roman" w:hAnsi="Times New Roman" w:cs="Times New Roman"/>
                <w:sz w:val="18"/>
                <w:szCs w:val="18"/>
              </w:rPr>
            </w:pPr>
            <w:r w:rsidRPr="00EA6CFD">
              <w:rPr>
                <w:rFonts w:ascii="Times New Roman" w:hAnsi="Times New Roman" w:cs="Times New Roman"/>
                <w:sz w:val="18"/>
                <w:szCs w:val="18"/>
              </w:rPr>
              <w:t>20,96</w:t>
            </w:r>
          </w:p>
        </w:tc>
      </w:tr>
      <w:tr w:rsidR="000915E1" w:rsidRPr="00EA6CFD" w:rsidTr="00AF3FE9">
        <w:trPr>
          <w:trHeight w:val="246"/>
        </w:trPr>
        <w:tc>
          <w:tcPr>
            <w:tcW w:w="426"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13</w:t>
            </w:r>
          </w:p>
        </w:tc>
        <w:tc>
          <w:tcPr>
            <w:tcW w:w="7967" w:type="dxa"/>
            <w:hideMark/>
          </w:tcPr>
          <w:p w:rsidR="00EA6CFD" w:rsidRPr="00EA6CFD" w:rsidRDefault="00EA6CFD" w:rsidP="00EA6CFD">
            <w:pPr>
              <w:jc w:val="both"/>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Üniversite üst yönetimine (Rektör, Rektör Yardımcıları) ulaşılabilirlikten</w:t>
            </w:r>
          </w:p>
        </w:tc>
        <w:tc>
          <w:tcPr>
            <w:tcW w:w="992" w:type="dxa"/>
            <w:shd w:val="clear" w:color="auto" w:fill="E7F9FF"/>
            <w:hideMark/>
          </w:tcPr>
          <w:p w:rsidR="00EA6CFD" w:rsidRPr="00EA6CFD" w:rsidRDefault="00EA6CFD" w:rsidP="000915E1">
            <w:pPr>
              <w:spacing w:before="40" w:after="40"/>
              <w:jc w:val="center"/>
              <w:rPr>
                <w:rFonts w:ascii="Times New Roman" w:hAnsi="Times New Roman" w:cs="Times New Roman"/>
                <w:b/>
                <w:color w:val="00B050"/>
                <w:sz w:val="18"/>
                <w:szCs w:val="18"/>
              </w:rPr>
            </w:pPr>
            <w:r w:rsidRPr="00EA6CFD">
              <w:rPr>
                <w:rFonts w:ascii="Times New Roman" w:hAnsi="Times New Roman" w:cs="Times New Roman"/>
                <w:b/>
                <w:color w:val="00B050"/>
                <w:sz w:val="18"/>
                <w:szCs w:val="18"/>
              </w:rPr>
              <w:t>62,28</w:t>
            </w:r>
          </w:p>
        </w:tc>
        <w:tc>
          <w:tcPr>
            <w:tcW w:w="709"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22,16</w:t>
            </w:r>
          </w:p>
        </w:tc>
        <w:tc>
          <w:tcPr>
            <w:tcW w:w="1276" w:type="dxa"/>
            <w:shd w:val="clear" w:color="auto" w:fill="FCEEE4"/>
            <w:hideMark/>
          </w:tcPr>
          <w:p w:rsidR="00EA6CFD" w:rsidRPr="00EA6CFD" w:rsidRDefault="00EA6CFD" w:rsidP="008D603E">
            <w:pPr>
              <w:spacing w:before="40" w:after="40"/>
              <w:jc w:val="center"/>
              <w:rPr>
                <w:rFonts w:ascii="Times New Roman" w:hAnsi="Times New Roman" w:cs="Times New Roman"/>
                <w:sz w:val="18"/>
                <w:szCs w:val="18"/>
              </w:rPr>
            </w:pPr>
            <w:r w:rsidRPr="00EA6CFD">
              <w:rPr>
                <w:rFonts w:ascii="Times New Roman" w:hAnsi="Times New Roman" w:cs="Times New Roman"/>
                <w:sz w:val="18"/>
                <w:szCs w:val="18"/>
              </w:rPr>
              <w:t>15,56</w:t>
            </w:r>
          </w:p>
        </w:tc>
      </w:tr>
      <w:tr w:rsidR="000915E1" w:rsidRPr="00EA6CFD" w:rsidTr="00AF3FE9">
        <w:trPr>
          <w:trHeight w:val="221"/>
        </w:trPr>
        <w:tc>
          <w:tcPr>
            <w:tcW w:w="426"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14</w:t>
            </w:r>
          </w:p>
        </w:tc>
        <w:tc>
          <w:tcPr>
            <w:tcW w:w="7967" w:type="dxa"/>
            <w:hideMark/>
          </w:tcPr>
          <w:p w:rsidR="00EA6CFD" w:rsidRPr="00EA6CFD" w:rsidRDefault="00EA6CFD" w:rsidP="00EA6CFD">
            <w:pPr>
              <w:jc w:val="both"/>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Servis / ulaşım hizmetlerinden</w:t>
            </w:r>
          </w:p>
        </w:tc>
        <w:tc>
          <w:tcPr>
            <w:tcW w:w="992" w:type="dxa"/>
            <w:shd w:val="clear" w:color="auto" w:fill="E7F9FF"/>
            <w:hideMark/>
          </w:tcPr>
          <w:p w:rsidR="00EA6CFD" w:rsidRPr="00EA6CFD" w:rsidRDefault="00EA6CFD" w:rsidP="000915E1">
            <w:pPr>
              <w:spacing w:before="40" w:after="40"/>
              <w:jc w:val="center"/>
              <w:rPr>
                <w:rFonts w:ascii="Times New Roman" w:hAnsi="Times New Roman" w:cs="Times New Roman"/>
                <w:b/>
                <w:color w:val="00B050"/>
                <w:sz w:val="18"/>
                <w:szCs w:val="18"/>
              </w:rPr>
            </w:pPr>
            <w:r w:rsidRPr="00EA6CFD">
              <w:rPr>
                <w:rFonts w:ascii="Times New Roman" w:hAnsi="Times New Roman" w:cs="Times New Roman"/>
                <w:b/>
                <w:color w:val="00B050"/>
                <w:sz w:val="18"/>
                <w:szCs w:val="18"/>
              </w:rPr>
              <w:t>60,48</w:t>
            </w:r>
          </w:p>
        </w:tc>
        <w:tc>
          <w:tcPr>
            <w:tcW w:w="709"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18,56</w:t>
            </w:r>
          </w:p>
        </w:tc>
        <w:tc>
          <w:tcPr>
            <w:tcW w:w="1276" w:type="dxa"/>
            <w:shd w:val="clear" w:color="auto" w:fill="FCEEE4"/>
            <w:hideMark/>
          </w:tcPr>
          <w:p w:rsidR="00EA6CFD" w:rsidRPr="00EA6CFD" w:rsidRDefault="00EA6CFD" w:rsidP="008D603E">
            <w:pPr>
              <w:spacing w:before="40" w:after="40"/>
              <w:jc w:val="center"/>
              <w:rPr>
                <w:rFonts w:ascii="Times New Roman" w:hAnsi="Times New Roman" w:cs="Times New Roman"/>
                <w:sz w:val="18"/>
                <w:szCs w:val="18"/>
              </w:rPr>
            </w:pPr>
            <w:r w:rsidRPr="00EA6CFD">
              <w:rPr>
                <w:rFonts w:ascii="Times New Roman" w:hAnsi="Times New Roman" w:cs="Times New Roman"/>
                <w:sz w:val="18"/>
                <w:szCs w:val="18"/>
              </w:rPr>
              <w:t>20,96</w:t>
            </w:r>
          </w:p>
        </w:tc>
      </w:tr>
      <w:tr w:rsidR="000915E1" w:rsidRPr="00EA6CFD" w:rsidTr="00AF3FE9">
        <w:trPr>
          <w:trHeight w:val="212"/>
        </w:trPr>
        <w:tc>
          <w:tcPr>
            <w:tcW w:w="426"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15</w:t>
            </w:r>
          </w:p>
        </w:tc>
        <w:tc>
          <w:tcPr>
            <w:tcW w:w="7967" w:type="dxa"/>
            <w:hideMark/>
          </w:tcPr>
          <w:p w:rsidR="00EA6CFD" w:rsidRPr="00EA6CFD" w:rsidRDefault="00EA6CFD" w:rsidP="00EA6CFD">
            <w:pPr>
              <w:jc w:val="both"/>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Çalışma ortamındaki huzur ve işimi iyi yapabileceğim ortamın sağlanmasından</w:t>
            </w:r>
          </w:p>
        </w:tc>
        <w:tc>
          <w:tcPr>
            <w:tcW w:w="992" w:type="dxa"/>
            <w:shd w:val="clear" w:color="auto" w:fill="E7F9FF"/>
            <w:hideMark/>
          </w:tcPr>
          <w:p w:rsidR="00EA6CFD" w:rsidRPr="00EA6CFD" w:rsidRDefault="00EA6CFD" w:rsidP="000915E1">
            <w:pPr>
              <w:spacing w:before="40" w:after="40"/>
              <w:jc w:val="center"/>
              <w:rPr>
                <w:rFonts w:ascii="Times New Roman" w:hAnsi="Times New Roman" w:cs="Times New Roman"/>
                <w:b/>
                <w:color w:val="00B050"/>
                <w:sz w:val="18"/>
                <w:szCs w:val="18"/>
              </w:rPr>
            </w:pPr>
            <w:r w:rsidRPr="00EA6CFD">
              <w:rPr>
                <w:rFonts w:ascii="Times New Roman" w:hAnsi="Times New Roman" w:cs="Times New Roman"/>
                <w:b/>
                <w:color w:val="00B050"/>
                <w:sz w:val="18"/>
                <w:szCs w:val="18"/>
              </w:rPr>
              <w:t>60,48</w:t>
            </w:r>
          </w:p>
        </w:tc>
        <w:tc>
          <w:tcPr>
            <w:tcW w:w="709"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14,97</w:t>
            </w:r>
          </w:p>
        </w:tc>
        <w:tc>
          <w:tcPr>
            <w:tcW w:w="1276" w:type="dxa"/>
            <w:shd w:val="clear" w:color="auto" w:fill="FCEEE4"/>
            <w:hideMark/>
          </w:tcPr>
          <w:p w:rsidR="00EA6CFD" w:rsidRPr="00EA6CFD" w:rsidRDefault="00EA6CFD" w:rsidP="008D603E">
            <w:pPr>
              <w:spacing w:before="40" w:after="40"/>
              <w:jc w:val="center"/>
              <w:rPr>
                <w:rFonts w:ascii="Times New Roman" w:hAnsi="Times New Roman" w:cs="Times New Roman"/>
                <w:sz w:val="18"/>
                <w:szCs w:val="18"/>
              </w:rPr>
            </w:pPr>
            <w:r w:rsidRPr="00EA6CFD">
              <w:rPr>
                <w:rFonts w:ascii="Times New Roman" w:hAnsi="Times New Roman" w:cs="Times New Roman"/>
                <w:sz w:val="18"/>
                <w:szCs w:val="18"/>
              </w:rPr>
              <w:t>24,55</w:t>
            </w:r>
          </w:p>
        </w:tc>
      </w:tr>
      <w:tr w:rsidR="000915E1" w:rsidRPr="00EA6CFD" w:rsidTr="00AF3FE9">
        <w:trPr>
          <w:trHeight w:val="201"/>
        </w:trPr>
        <w:tc>
          <w:tcPr>
            <w:tcW w:w="426"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16</w:t>
            </w:r>
          </w:p>
        </w:tc>
        <w:tc>
          <w:tcPr>
            <w:tcW w:w="7967" w:type="dxa"/>
            <w:hideMark/>
          </w:tcPr>
          <w:p w:rsidR="00EA6CFD" w:rsidRPr="00EA6CFD" w:rsidRDefault="00EA6CFD" w:rsidP="00EA6CFD">
            <w:pPr>
              <w:jc w:val="both"/>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İdari personel arasındaki iletişim ve ilişkilerden</w:t>
            </w:r>
          </w:p>
        </w:tc>
        <w:tc>
          <w:tcPr>
            <w:tcW w:w="992" w:type="dxa"/>
            <w:shd w:val="clear" w:color="auto" w:fill="E7F9FF"/>
            <w:hideMark/>
          </w:tcPr>
          <w:p w:rsidR="00EA6CFD" w:rsidRPr="00EA6CFD" w:rsidRDefault="00EA6CFD" w:rsidP="000915E1">
            <w:pPr>
              <w:spacing w:before="40" w:after="40"/>
              <w:jc w:val="center"/>
              <w:rPr>
                <w:rFonts w:ascii="Times New Roman" w:hAnsi="Times New Roman" w:cs="Times New Roman"/>
                <w:b/>
                <w:color w:val="00B050"/>
                <w:sz w:val="18"/>
                <w:szCs w:val="18"/>
              </w:rPr>
            </w:pPr>
            <w:r w:rsidRPr="00EA6CFD">
              <w:rPr>
                <w:rFonts w:ascii="Times New Roman" w:hAnsi="Times New Roman" w:cs="Times New Roman"/>
                <w:b/>
                <w:color w:val="00B050"/>
                <w:sz w:val="18"/>
                <w:szCs w:val="18"/>
              </w:rPr>
              <w:t>58,08</w:t>
            </w:r>
          </w:p>
        </w:tc>
        <w:tc>
          <w:tcPr>
            <w:tcW w:w="709"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20,36</w:t>
            </w:r>
          </w:p>
        </w:tc>
        <w:tc>
          <w:tcPr>
            <w:tcW w:w="1276" w:type="dxa"/>
            <w:shd w:val="clear" w:color="auto" w:fill="FCEEE4"/>
            <w:hideMark/>
          </w:tcPr>
          <w:p w:rsidR="00EA6CFD" w:rsidRPr="00EA6CFD" w:rsidRDefault="00EA6CFD" w:rsidP="008D603E">
            <w:pPr>
              <w:spacing w:before="40" w:after="40"/>
              <w:jc w:val="center"/>
              <w:rPr>
                <w:rFonts w:ascii="Times New Roman" w:hAnsi="Times New Roman" w:cs="Times New Roman"/>
                <w:sz w:val="18"/>
                <w:szCs w:val="18"/>
              </w:rPr>
            </w:pPr>
            <w:r w:rsidRPr="00EA6CFD">
              <w:rPr>
                <w:rFonts w:ascii="Times New Roman" w:hAnsi="Times New Roman" w:cs="Times New Roman"/>
                <w:sz w:val="18"/>
                <w:szCs w:val="18"/>
              </w:rPr>
              <w:t>21,56</w:t>
            </w:r>
          </w:p>
        </w:tc>
      </w:tr>
      <w:tr w:rsidR="000915E1" w:rsidRPr="00EA6CFD" w:rsidTr="00AF3FE9">
        <w:trPr>
          <w:trHeight w:val="178"/>
        </w:trPr>
        <w:tc>
          <w:tcPr>
            <w:tcW w:w="426"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17</w:t>
            </w:r>
          </w:p>
        </w:tc>
        <w:tc>
          <w:tcPr>
            <w:tcW w:w="7967" w:type="dxa"/>
            <w:hideMark/>
          </w:tcPr>
          <w:p w:rsidR="00EA6CFD" w:rsidRPr="00EA6CFD" w:rsidRDefault="00EA6CFD" w:rsidP="00EA6CFD">
            <w:pPr>
              <w:jc w:val="both"/>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Yapım ve onarım hizmetlerinden</w:t>
            </w:r>
          </w:p>
        </w:tc>
        <w:tc>
          <w:tcPr>
            <w:tcW w:w="992" w:type="dxa"/>
            <w:shd w:val="clear" w:color="auto" w:fill="E7F9FF"/>
            <w:hideMark/>
          </w:tcPr>
          <w:p w:rsidR="00EA6CFD" w:rsidRPr="00EA6CFD" w:rsidRDefault="00EA6CFD" w:rsidP="000915E1">
            <w:pPr>
              <w:spacing w:before="40" w:after="40"/>
              <w:jc w:val="center"/>
              <w:rPr>
                <w:rFonts w:ascii="Times New Roman" w:hAnsi="Times New Roman" w:cs="Times New Roman"/>
                <w:b/>
                <w:color w:val="00B050"/>
                <w:sz w:val="18"/>
                <w:szCs w:val="18"/>
              </w:rPr>
            </w:pPr>
            <w:r w:rsidRPr="00EA6CFD">
              <w:rPr>
                <w:rFonts w:ascii="Times New Roman" w:hAnsi="Times New Roman" w:cs="Times New Roman"/>
                <w:b/>
                <w:color w:val="00B050"/>
                <w:sz w:val="18"/>
                <w:szCs w:val="18"/>
              </w:rPr>
              <w:t>53,29</w:t>
            </w:r>
          </w:p>
        </w:tc>
        <w:tc>
          <w:tcPr>
            <w:tcW w:w="709"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20,95</w:t>
            </w:r>
          </w:p>
        </w:tc>
        <w:tc>
          <w:tcPr>
            <w:tcW w:w="1276" w:type="dxa"/>
            <w:shd w:val="clear" w:color="auto" w:fill="FCEEE4"/>
            <w:hideMark/>
          </w:tcPr>
          <w:p w:rsidR="00EA6CFD" w:rsidRPr="00EA6CFD" w:rsidRDefault="00EA6CFD" w:rsidP="008D603E">
            <w:pPr>
              <w:spacing w:before="40" w:after="40"/>
              <w:jc w:val="center"/>
              <w:rPr>
                <w:rFonts w:ascii="Times New Roman" w:hAnsi="Times New Roman" w:cs="Times New Roman"/>
                <w:sz w:val="18"/>
                <w:szCs w:val="18"/>
              </w:rPr>
            </w:pPr>
            <w:r w:rsidRPr="00EA6CFD">
              <w:rPr>
                <w:rFonts w:ascii="Times New Roman" w:hAnsi="Times New Roman" w:cs="Times New Roman"/>
                <w:sz w:val="18"/>
                <w:szCs w:val="18"/>
              </w:rPr>
              <w:t>25,76</w:t>
            </w:r>
          </w:p>
        </w:tc>
      </w:tr>
      <w:tr w:rsidR="000915E1" w:rsidRPr="00EA6CFD" w:rsidTr="00AF3FE9">
        <w:trPr>
          <w:trHeight w:val="181"/>
        </w:trPr>
        <w:tc>
          <w:tcPr>
            <w:tcW w:w="426"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18</w:t>
            </w:r>
          </w:p>
        </w:tc>
        <w:tc>
          <w:tcPr>
            <w:tcW w:w="7967" w:type="dxa"/>
            <w:hideMark/>
          </w:tcPr>
          <w:p w:rsidR="00EA6CFD" w:rsidRPr="00EA6CFD" w:rsidRDefault="00EA6CFD" w:rsidP="00EA6CFD">
            <w:pPr>
              <w:jc w:val="both"/>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Sportif faaliyetler ve bu amaçla kurulmuş tesislerden</w:t>
            </w:r>
          </w:p>
        </w:tc>
        <w:tc>
          <w:tcPr>
            <w:tcW w:w="992" w:type="dxa"/>
            <w:shd w:val="clear" w:color="auto" w:fill="E7F9FF"/>
            <w:hideMark/>
          </w:tcPr>
          <w:p w:rsidR="00EA6CFD" w:rsidRPr="00EA6CFD" w:rsidRDefault="00EA6CFD" w:rsidP="000915E1">
            <w:pPr>
              <w:spacing w:before="40" w:after="40"/>
              <w:jc w:val="center"/>
              <w:rPr>
                <w:rFonts w:ascii="Times New Roman" w:hAnsi="Times New Roman" w:cs="Times New Roman"/>
                <w:b/>
                <w:color w:val="00B050"/>
                <w:sz w:val="18"/>
                <w:szCs w:val="18"/>
              </w:rPr>
            </w:pPr>
            <w:r w:rsidRPr="00EA6CFD">
              <w:rPr>
                <w:rFonts w:ascii="Times New Roman" w:hAnsi="Times New Roman" w:cs="Times New Roman"/>
                <w:b/>
                <w:color w:val="00B050"/>
                <w:sz w:val="18"/>
                <w:szCs w:val="18"/>
              </w:rPr>
              <w:t>52,10</w:t>
            </w:r>
          </w:p>
        </w:tc>
        <w:tc>
          <w:tcPr>
            <w:tcW w:w="709"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32,93</w:t>
            </w:r>
          </w:p>
        </w:tc>
        <w:tc>
          <w:tcPr>
            <w:tcW w:w="1276" w:type="dxa"/>
            <w:shd w:val="clear" w:color="auto" w:fill="FCEEE4"/>
            <w:hideMark/>
          </w:tcPr>
          <w:p w:rsidR="00EA6CFD" w:rsidRPr="00EA6CFD" w:rsidRDefault="00EA6CFD" w:rsidP="008D603E">
            <w:pPr>
              <w:spacing w:before="40" w:after="40"/>
              <w:jc w:val="center"/>
              <w:rPr>
                <w:rFonts w:ascii="Times New Roman" w:hAnsi="Times New Roman" w:cs="Times New Roman"/>
                <w:sz w:val="18"/>
                <w:szCs w:val="18"/>
              </w:rPr>
            </w:pPr>
            <w:r w:rsidRPr="00EA6CFD">
              <w:rPr>
                <w:rFonts w:ascii="Times New Roman" w:hAnsi="Times New Roman" w:cs="Times New Roman"/>
                <w:sz w:val="18"/>
                <w:szCs w:val="18"/>
              </w:rPr>
              <w:t>14,97</w:t>
            </w:r>
          </w:p>
        </w:tc>
      </w:tr>
      <w:tr w:rsidR="000915E1" w:rsidRPr="00EA6CFD" w:rsidTr="00AF3FE9">
        <w:trPr>
          <w:trHeight w:val="158"/>
        </w:trPr>
        <w:tc>
          <w:tcPr>
            <w:tcW w:w="426"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19</w:t>
            </w:r>
          </w:p>
        </w:tc>
        <w:tc>
          <w:tcPr>
            <w:tcW w:w="7967" w:type="dxa"/>
            <w:hideMark/>
          </w:tcPr>
          <w:p w:rsidR="00EA6CFD" w:rsidRPr="00EA6CFD" w:rsidRDefault="00EA6CFD" w:rsidP="00EA6CFD">
            <w:pPr>
              <w:jc w:val="both"/>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Birim Kurul (Yönetim K, Fakülte K, Bölüm K. …) kararlarının şeffaflık ve hesap verilebilirliğinden</w:t>
            </w:r>
          </w:p>
        </w:tc>
        <w:tc>
          <w:tcPr>
            <w:tcW w:w="992" w:type="dxa"/>
            <w:shd w:val="clear" w:color="auto" w:fill="E7F9FF"/>
            <w:hideMark/>
          </w:tcPr>
          <w:p w:rsidR="00EA6CFD" w:rsidRPr="00EA6CFD" w:rsidRDefault="00EA6CFD" w:rsidP="000915E1">
            <w:pPr>
              <w:spacing w:before="40" w:after="40"/>
              <w:jc w:val="center"/>
              <w:rPr>
                <w:rFonts w:ascii="Times New Roman" w:hAnsi="Times New Roman" w:cs="Times New Roman"/>
                <w:b/>
                <w:color w:val="00B050"/>
                <w:sz w:val="18"/>
                <w:szCs w:val="18"/>
              </w:rPr>
            </w:pPr>
            <w:r w:rsidRPr="00EA6CFD">
              <w:rPr>
                <w:rFonts w:ascii="Times New Roman" w:hAnsi="Times New Roman" w:cs="Times New Roman"/>
                <w:b/>
                <w:color w:val="00B050"/>
                <w:sz w:val="18"/>
                <w:szCs w:val="18"/>
              </w:rPr>
              <w:t>51,50</w:t>
            </w:r>
          </w:p>
        </w:tc>
        <w:tc>
          <w:tcPr>
            <w:tcW w:w="709"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27,55</w:t>
            </w:r>
          </w:p>
        </w:tc>
        <w:tc>
          <w:tcPr>
            <w:tcW w:w="1276" w:type="dxa"/>
            <w:shd w:val="clear" w:color="auto" w:fill="FCEEE4"/>
            <w:hideMark/>
          </w:tcPr>
          <w:p w:rsidR="00EA6CFD" w:rsidRPr="00EA6CFD" w:rsidRDefault="00EA6CFD" w:rsidP="008D603E">
            <w:pPr>
              <w:spacing w:before="40" w:after="40"/>
              <w:jc w:val="center"/>
              <w:rPr>
                <w:rFonts w:ascii="Times New Roman" w:hAnsi="Times New Roman" w:cs="Times New Roman"/>
                <w:sz w:val="18"/>
                <w:szCs w:val="18"/>
              </w:rPr>
            </w:pPr>
            <w:r w:rsidRPr="00EA6CFD">
              <w:rPr>
                <w:rFonts w:ascii="Times New Roman" w:hAnsi="Times New Roman" w:cs="Times New Roman"/>
                <w:sz w:val="18"/>
                <w:szCs w:val="18"/>
              </w:rPr>
              <w:t>20,95</w:t>
            </w:r>
          </w:p>
        </w:tc>
      </w:tr>
      <w:tr w:rsidR="000915E1" w:rsidRPr="00EA6CFD" w:rsidTr="00AF3FE9">
        <w:trPr>
          <w:trHeight w:val="133"/>
        </w:trPr>
        <w:tc>
          <w:tcPr>
            <w:tcW w:w="426"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20</w:t>
            </w:r>
          </w:p>
        </w:tc>
        <w:tc>
          <w:tcPr>
            <w:tcW w:w="7967" w:type="dxa"/>
            <w:hideMark/>
          </w:tcPr>
          <w:p w:rsidR="00EA6CFD" w:rsidRPr="00EA6CFD" w:rsidRDefault="00EA6CFD" w:rsidP="00EA6CFD">
            <w:pPr>
              <w:jc w:val="both"/>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 xml:space="preserve">Üniversitemizin </w:t>
            </w:r>
            <w:proofErr w:type="gramStart"/>
            <w:r w:rsidRPr="00EA6CFD">
              <w:rPr>
                <w:rFonts w:ascii="Times New Roman" w:eastAsia="Times New Roman" w:hAnsi="Times New Roman" w:cs="Times New Roman"/>
                <w:color w:val="000000"/>
                <w:sz w:val="16"/>
                <w:szCs w:val="16"/>
                <w:lang w:eastAsia="tr-TR"/>
              </w:rPr>
              <w:t>vizyon</w:t>
            </w:r>
            <w:proofErr w:type="gramEnd"/>
            <w:r w:rsidRPr="00EA6CFD">
              <w:rPr>
                <w:rFonts w:ascii="Times New Roman" w:eastAsia="Times New Roman" w:hAnsi="Times New Roman" w:cs="Times New Roman"/>
                <w:color w:val="000000"/>
                <w:sz w:val="16"/>
                <w:szCs w:val="16"/>
                <w:lang w:eastAsia="tr-TR"/>
              </w:rPr>
              <w:t xml:space="preserve"> ve misyonundan</w:t>
            </w:r>
          </w:p>
        </w:tc>
        <w:tc>
          <w:tcPr>
            <w:tcW w:w="992" w:type="dxa"/>
            <w:shd w:val="clear" w:color="auto" w:fill="E7F9FF"/>
            <w:hideMark/>
          </w:tcPr>
          <w:p w:rsidR="00EA6CFD" w:rsidRPr="00EA6CFD" w:rsidRDefault="00EA6CFD" w:rsidP="000915E1">
            <w:pPr>
              <w:spacing w:before="40" w:after="40"/>
              <w:jc w:val="center"/>
              <w:rPr>
                <w:rFonts w:ascii="Times New Roman" w:hAnsi="Times New Roman" w:cs="Times New Roman"/>
                <w:b/>
                <w:color w:val="00B050"/>
                <w:sz w:val="18"/>
                <w:szCs w:val="18"/>
              </w:rPr>
            </w:pPr>
            <w:r w:rsidRPr="00EA6CFD">
              <w:rPr>
                <w:rFonts w:ascii="Times New Roman" w:hAnsi="Times New Roman" w:cs="Times New Roman"/>
                <w:b/>
                <w:color w:val="00B050"/>
                <w:sz w:val="18"/>
                <w:szCs w:val="18"/>
              </w:rPr>
              <w:t>49,70</w:t>
            </w:r>
          </w:p>
        </w:tc>
        <w:tc>
          <w:tcPr>
            <w:tcW w:w="709"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29,94</w:t>
            </w:r>
          </w:p>
        </w:tc>
        <w:tc>
          <w:tcPr>
            <w:tcW w:w="1276" w:type="dxa"/>
            <w:shd w:val="clear" w:color="auto" w:fill="FCEEE4"/>
            <w:hideMark/>
          </w:tcPr>
          <w:p w:rsidR="00EA6CFD" w:rsidRPr="00EA6CFD" w:rsidRDefault="00EA6CFD" w:rsidP="008D603E">
            <w:pPr>
              <w:spacing w:before="40" w:after="40"/>
              <w:jc w:val="center"/>
              <w:rPr>
                <w:rFonts w:ascii="Times New Roman" w:hAnsi="Times New Roman" w:cs="Times New Roman"/>
                <w:sz w:val="18"/>
                <w:szCs w:val="18"/>
              </w:rPr>
            </w:pPr>
            <w:r w:rsidRPr="00EA6CFD">
              <w:rPr>
                <w:rFonts w:ascii="Times New Roman" w:hAnsi="Times New Roman" w:cs="Times New Roman"/>
                <w:sz w:val="18"/>
                <w:szCs w:val="18"/>
              </w:rPr>
              <w:t>20,36</w:t>
            </w:r>
          </w:p>
        </w:tc>
      </w:tr>
      <w:tr w:rsidR="000915E1" w:rsidRPr="00EA6CFD" w:rsidTr="00AF3FE9">
        <w:trPr>
          <w:trHeight w:val="280"/>
        </w:trPr>
        <w:tc>
          <w:tcPr>
            <w:tcW w:w="426"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21</w:t>
            </w:r>
          </w:p>
        </w:tc>
        <w:tc>
          <w:tcPr>
            <w:tcW w:w="7967" w:type="dxa"/>
            <w:hideMark/>
          </w:tcPr>
          <w:p w:rsidR="00EA6CFD" w:rsidRPr="00EA6CFD" w:rsidRDefault="00EA6CFD" w:rsidP="00EA6CFD">
            <w:pPr>
              <w:jc w:val="both"/>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Dış paydaşlarla (kamu kurumları, özel sektör, sivil toplum kuruluşları, halk …) olan ilişkilerden</w:t>
            </w:r>
          </w:p>
        </w:tc>
        <w:tc>
          <w:tcPr>
            <w:tcW w:w="992" w:type="dxa"/>
            <w:shd w:val="clear" w:color="auto" w:fill="E7F9FF"/>
            <w:hideMark/>
          </w:tcPr>
          <w:p w:rsidR="00EA6CFD" w:rsidRPr="00EA6CFD" w:rsidRDefault="00EA6CFD" w:rsidP="000915E1">
            <w:pPr>
              <w:spacing w:before="40" w:after="40"/>
              <w:jc w:val="center"/>
              <w:rPr>
                <w:rFonts w:ascii="Times New Roman" w:hAnsi="Times New Roman" w:cs="Times New Roman"/>
                <w:b/>
                <w:color w:val="00B050"/>
                <w:sz w:val="18"/>
                <w:szCs w:val="18"/>
              </w:rPr>
            </w:pPr>
            <w:r w:rsidRPr="00EA6CFD">
              <w:rPr>
                <w:rFonts w:ascii="Times New Roman" w:hAnsi="Times New Roman" w:cs="Times New Roman"/>
                <w:b/>
                <w:color w:val="00B050"/>
                <w:sz w:val="18"/>
                <w:szCs w:val="18"/>
              </w:rPr>
              <w:t>49,10</w:t>
            </w:r>
          </w:p>
        </w:tc>
        <w:tc>
          <w:tcPr>
            <w:tcW w:w="709"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33,53</w:t>
            </w:r>
          </w:p>
        </w:tc>
        <w:tc>
          <w:tcPr>
            <w:tcW w:w="1276" w:type="dxa"/>
            <w:shd w:val="clear" w:color="auto" w:fill="FCEEE4"/>
            <w:hideMark/>
          </w:tcPr>
          <w:p w:rsidR="00EA6CFD" w:rsidRPr="00EA6CFD" w:rsidRDefault="00EA6CFD" w:rsidP="008D603E">
            <w:pPr>
              <w:spacing w:before="40" w:after="40"/>
              <w:jc w:val="center"/>
              <w:rPr>
                <w:rFonts w:ascii="Times New Roman" w:hAnsi="Times New Roman" w:cs="Times New Roman"/>
                <w:sz w:val="18"/>
                <w:szCs w:val="18"/>
              </w:rPr>
            </w:pPr>
            <w:r w:rsidRPr="00EA6CFD">
              <w:rPr>
                <w:rFonts w:ascii="Times New Roman" w:hAnsi="Times New Roman" w:cs="Times New Roman"/>
                <w:sz w:val="18"/>
                <w:szCs w:val="18"/>
              </w:rPr>
              <w:t>17,37</w:t>
            </w:r>
          </w:p>
        </w:tc>
      </w:tr>
      <w:tr w:rsidR="000915E1" w:rsidRPr="00EA6CFD" w:rsidTr="00AF3FE9">
        <w:trPr>
          <w:trHeight w:val="256"/>
        </w:trPr>
        <w:tc>
          <w:tcPr>
            <w:tcW w:w="426"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22</w:t>
            </w:r>
          </w:p>
        </w:tc>
        <w:tc>
          <w:tcPr>
            <w:tcW w:w="7967" w:type="dxa"/>
            <w:hideMark/>
          </w:tcPr>
          <w:p w:rsidR="00EA6CFD" w:rsidRPr="00EA6CFD" w:rsidRDefault="00EA6CFD" w:rsidP="00EA6CFD">
            <w:pPr>
              <w:jc w:val="both"/>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Düşünceleri ifade özgürlüğünden</w:t>
            </w:r>
          </w:p>
        </w:tc>
        <w:tc>
          <w:tcPr>
            <w:tcW w:w="992" w:type="dxa"/>
            <w:shd w:val="clear" w:color="auto" w:fill="E7F9FF"/>
            <w:hideMark/>
          </w:tcPr>
          <w:p w:rsidR="00EA6CFD" w:rsidRPr="00EA6CFD" w:rsidRDefault="00EA6CFD" w:rsidP="000915E1">
            <w:pPr>
              <w:spacing w:before="40" w:after="40"/>
              <w:jc w:val="center"/>
              <w:rPr>
                <w:rFonts w:ascii="Times New Roman" w:hAnsi="Times New Roman" w:cs="Times New Roman"/>
                <w:b/>
                <w:color w:val="00B050"/>
                <w:sz w:val="18"/>
                <w:szCs w:val="18"/>
              </w:rPr>
            </w:pPr>
            <w:r w:rsidRPr="00EA6CFD">
              <w:rPr>
                <w:rFonts w:ascii="Times New Roman" w:hAnsi="Times New Roman" w:cs="Times New Roman"/>
                <w:b/>
                <w:color w:val="00B050"/>
                <w:sz w:val="18"/>
                <w:szCs w:val="18"/>
              </w:rPr>
              <w:t>48,50</w:t>
            </w:r>
          </w:p>
        </w:tc>
        <w:tc>
          <w:tcPr>
            <w:tcW w:w="709"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22,16</w:t>
            </w:r>
          </w:p>
        </w:tc>
        <w:tc>
          <w:tcPr>
            <w:tcW w:w="1276" w:type="dxa"/>
            <w:shd w:val="clear" w:color="auto" w:fill="FCEEE4"/>
            <w:hideMark/>
          </w:tcPr>
          <w:p w:rsidR="00EA6CFD" w:rsidRPr="00EA6CFD" w:rsidRDefault="00EA6CFD" w:rsidP="008D603E">
            <w:pPr>
              <w:spacing w:before="40" w:after="40"/>
              <w:jc w:val="center"/>
              <w:rPr>
                <w:rFonts w:ascii="Times New Roman" w:hAnsi="Times New Roman" w:cs="Times New Roman"/>
                <w:sz w:val="18"/>
                <w:szCs w:val="18"/>
              </w:rPr>
            </w:pPr>
            <w:r w:rsidRPr="00EA6CFD">
              <w:rPr>
                <w:rFonts w:ascii="Times New Roman" w:hAnsi="Times New Roman" w:cs="Times New Roman"/>
                <w:sz w:val="18"/>
                <w:szCs w:val="18"/>
              </w:rPr>
              <w:t>29,34</w:t>
            </w:r>
          </w:p>
        </w:tc>
      </w:tr>
      <w:tr w:rsidR="000915E1" w:rsidRPr="00EA6CFD" w:rsidTr="00FE4AB8">
        <w:trPr>
          <w:trHeight w:val="245"/>
        </w:trPr>
        <w:tc>
          <w:tcPr>
            <w:tcW w:w="426"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23</w:t>
            </w:r>
          </w:p>
        </w:tc>
        <w:tc>
          <w:tcPr>
            <w:tcW w:w="7967" w:type="dxa"/>
            <w:hideMark/>
          </w:tcPr>
          <w:p w:rsidR="00EA6CFD" w:rsidRPr="00EA6CFD" w:rsidRDefault="00EA6CFD" w:rsidP="00EA6CFD">
            <w:pPr>
              <w:jc w:val="both"/>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Üniversitemizin beklentilerinizi karşılama düzeyinden</w:t>
            </w:r>
          </w:p>
        </w:tc>
        <w:tc>
          <w:tcPr>
            <w:tcW w:w="992" w:type="dxa"/>
            <w:shd w:val="clear" w:color="auto" w:fill="E7F9FF"/>
            <w:hideMark/>
          </w:tcPr>
          <w:p w:rsidR="00EA6CFD" w:rsidRPr="00EA6CFD" w:rsidRDefault="00EA6CFD" w:rsidP="000915E1">
            <w:pPr>
              <w:spacing w:before="40" w:after="40"/>
              <w:jc w:val="center"/>
              <w:rPr>
                <w:rFonts w:ascii="Times New Roman" w:hAnsi="Times New Roman" w:cs="Times New Roman"/>
                <w:b/>
                <w:color w:val="00B050"/>
                <w:sz w:val="18"/>
                <w:szCs w:val="18"/>
              </w:rPr>
            </w:pPr>
            <w:r w:rsidRPr="00EA6CFD">
              <w:rPr>
                <w:rFonts w:ascii="Times New Roman" w:hAnsi="Times New Roman" w:cs="Times New Roman"/>
                <w:b/>
                <w:color w:val="00B050"/>
                <w:sz w:val="18"/>
                <w:szCs w:val="18"/>
              </w:rPr>
              <w:t>47,91</w:t>
            </w:r>
          </w:p>
        </w:tc>
        <w:tc>
          <w:tcPr>
            <w:tcW w:w="709"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20,95</w:t>
            </w:r>
          </w:p>
        </w:tc>
        <w:tc>
          <w:tcPr>
            <w:tcW w:w="1276" w:type="dxa"/>
            <w:shd w:val="clear" w:color="auto" w:fill="FCEEE4"/>
            <w:hideMark/>
          </w:tcPr>
          <w:p w:rsidR="00EA6CFD" w:rsidRPr="00EA6CFD" w:rsidRDefault="00EA6CFD" w:rsidP="008D603E">
            <w:pPr>
              <w:spacing w:before="40" w:after="40"/>
              <w:jc w:val="center"/>
              <w:rPr>
                <w:rFonts w:ascii="Times New Roman" w:hAnsi="Times New Roman" w:cs="Times New Roman"/>
                <w:sz w:val="18"/>
                <w:szCs w:val="18"/>
              </w:rPr>
            </w:pPr>
            <w:r w:rsidRPr="00EA6CFD">
              <w:rPr>
                <w:rFonts w:ascii="Times New Roman" w:hAnsi="Times New Roman" w:cs="Times New Roman"/>
                <w:sz w:val="18"/>
                <w:szCs w:val="18"/>
              </w:rPr>
              <w:t>31,14</w:t>
            </w:r>
          </w:p>
        </w:tc>
      </w:tr>
      <w:tr w:rsidR="000915E1" w:rsidRPr="00EA6CFD" w:rsidTr="00FE4AB8">
        <w:trPr>
          <w:trHeight w:val="236"/>
        </w:trPr>
        <w:tc>
          <w:tcPr>
            <w:tcW w:w="426"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24</w:t>
            </w:r>
          </w:p>
        </w:tc>
        <w:tc>
          <w:tcPr>
            <w:tcW w:w="7967" w:type="dxa"/>
            <w:hideMark/>
          </w:tcPr>
          <w:p w:rsidR="00EA6CFD" w:rsidRPr="00EA6CFD" w:rsidRDefault="00EA6CFD" w:rsidP="00EA6CFD">
            <w:pPr>
              <w:jc w:val="both"/>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Akademik personel ile iletişim ve ilişkilerden</w:t>
            </w:r>
          </w:p>
        </w:tc>
        <w:tc>
          <w:tcPr>
            <w:tcW w:w="992" w:type="dxa"/>
            <w:shd w:val="clear" w:color="auto" w:fill="E7F9FF"/>
            <w:hideMark/>
          </w:tcPr>
          <w:p w:rsidR="00EA6CFD" w:rsidRPr="00EA6CFD" w:rsidRDefault="00EA6CFD" w:rsidP="000915E1">
            <w:pPr>
              <w:spacing w:before="40" w:after="40"/>
              <w:jc w:val="center"/>
              <w:rPr>
                <w:rFonts w:ascii="Times New Roman" w:hAnsi="Times New Roman" w:cs="Times New Roman"/>
                <w:b/>
                <w:color w:val="00B050"/>
                <w:sz w:val="18"/>
                <w:szCs w:val="18"/>
              </w:rPr>
            </w:pPr>
            <w:r w:rsidRPr="00EA6CFD">
              <w:rPr>
                <w:rFonts w:ascii="Times New Roman" w:hAnsi="Times New Roman" w:cs="Times New Roman"/>
                <w:b/>
                <w:color w:val="00B050"/>
                <w:sz w:val="18"/>
                <w:szCs w:val="18"/>
              </w:rPr>
              <w:t>47,90</w:t>
            </w:r>
          </w:p>
        </w:tc>
        <w:tc>
          <w:tcPr>
            <w:tcW w:w="709"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26,95</w:t>
            </w:r>
          </w:p>
        </w:tc>
        <w:tc>
          <w:tcPr>
            <w:tcW w:w="1276" w:type="dxa"/>
            <w:shd w:val="clear" w:color="auto" w:fill="FCEEE4"/>
            <w:hideMark/>
          </w:tcPr>
          <w:p w:rsidR="00EA6CFD" w:rsidRPr="00EA6CFD" w:rsidRDefault="00EA6CFD" w:rsidP="008D603E">
            <w:pPr>
              <w:spacing w:before="40" w:after="40"/>
              <w:jc w:val="center"/>
              <w:rPr>
                <w:rFonts w:ascii="Times New Roman" w:hAnsi="Times New Roman" w:cs="Times New Roman"/>
                <w:sz w:val="18"/>
                <w:szCs w:val="18"/>
              </w:rPr>
            </w:pPr>
            <w:r w:rsidRPr="00EA6CFD">
              <w:rPr>
                <w:rFonts w:ascii="Times New Roman" w:hAnsi="Times New Roman" w:cs="Times New Roman"/>
                <w:sz w:val="18"/>
                <w:szCs w:val="18"/>
              </w:rPr>
              <w:t>25,15</w:t>
            </w:r>
          </w:p>
        </w:tc>
      </w:tr>
      <w:tr w:rsidR="000915E1" w:rsidRPr="00EA6CFD" w:rsidTr="00FE4AB8">
        <w:trPr>
          <w:trHeight w:val="212"/>
        </w:trPr>
        <w:tc>
          <w:tcPr>
            <w:tcW w:w="426"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25</w:t>
            </w:r>
          </w:p>
        </w:tc>
        <w:tc>
          <w:tcPr>
            <w:tcW w:w="7967" w:type="dxa"/>
            <w:hideMark/>
          </w:tcPr>
          <w:p w:rsidR="00EA6CFD" w:rsidRPr="00EA6CFD" w:rsidRDefault="00EA6CFD" w:rsidP="00EA6CFD">
            <w:pPr>
              <w:jc w:val="both"/>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Üniversitede yürütülen Kalite Güvencesi ve Kalite Geliştirme çabalarından</w:t>
            </w:r>
          </w:p>
        </w:tc>
        <w:tc>
          <w:tcPr>
            <w:tcW w:w="992" w:type="dxa"/>
            <w:shd w:val="clear" w:color="auto" w:fill="E7F9FF"/>
            <w:hideMark/>
          </w:tcPr>
          <w:p w:rsidR="00EA6CFD" w:rsidRPr="00EA6CFD" w:rsidRDefault="00EA6CFD" w:rsidP="000915E1">
            <w:pPr>
              <w:spacing w:before="40" w:after="40"/>
              <w:jc w:val="center"/>
              <w:rPr>
                <w:rFonts w:ascii="Times New Roman" w:hAnsi="Times New Roman" w:cs="Times New Roman"/>
                <w:b/>
                <w:color w:val="00B050"/>
                <w:sz w:val="18"/>
                <w:szCs w:val="18"/>
              </w:rPr>
            </w:pPr>
            <w:r w:rsidRPr="00EA6CFD">
              <w:rPr>
                <w:rFonts w:ascii="Times New Roman" w:hAnsi="Times New Roman" w:cs="Times New Roman"/>
                <w:b/>
                <w:color w:val="00B050"/>
                <w:sz w:val="18"/>
                <w:szCs w:val="18"/>
              </w:rPr>
              <w:t>47,31</w:t>
            </w:r>
          </w:p>
        </w:tc>
        <w:tc>
          <w:tcPr>
            <w:tcW w:w="709"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34,73</w:t>
            </w:r>
          </w:p>
        </w:tc>
        <w:tc>
          <w:tcPr>
            <w:tcW w:w="1276" w:type="dxa"/>
            <w:shd w:val="clear" w:color="auto" w:fill="FCEEE4"/>
            <w:hideMark/>
          </w:tcPr>
          <w:p w:rsidR="00EA6CFD" w:rsidRPr="00EA6CFD" w:rsidRDefault="00EA6CFD" w:rsidP="008D603E">
            <w:pPr>
              <w:spacing w:before="40" w:after="40"/>
              <w:jc w:val="center"/>
              <w:rPr>
                <w:rFonts w:ascii="Times New Roman" w:hAnsi="Times New Roman" w:cs="Times New Roman"/>
                <w:sz w:val="18"/>
                <w:szCs w:val="18"/>
              </w:rPr>
            </w:pPr>
            <w:r w:rsidRPr="00EA6CFD">
              <w:rPr>
                <w:rFonts w:ascii="Times New Roman" w:hAnsi="Times New Roman" w:cs="Times New Roman"/>
                <w:sz w:val="18"/>
                <w:szCs w:val="18"/>
              </w:rPr>
              <w:t>17,96</w:t>
            </w:r>
          </w:p>
        </w:tc>
      </w:tr>
      <w:tr w:rsidR="000915E1" w:rsidRPr="00EA6CFD" w:rsidTr="00FE4AB8">
        <w:trPr>
          <w:trHeight w:val="202"/>
        </w:trPr>
        <w:tc>
          <w:tcPr>
            <w:tcW w:w="426"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26</w:t>
            </w:r>
          </w:p>
        </w:tc>
        <w:tc>
          <w:tcPr>
            <w:tcW w:w="7967" w:type="dxa"/>
            <w:hideMark/>
          </w:tcPr>
          <w:p w:rsidR="00EA6CFD" w:rsidRPr="00EA6CFD" w:rsidRDefault="00EA6CFD" w:rsidP="00EA6CFD">
            <w:pPr>
              <w:jc w:val="both"/>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Üniversitemizin kurumsallaşma düzeyinden</w:t>
            </w:r>
          </w:p>
        </w:tc>
        <w:tc>
          <w:tcPr>
            <w:tcW w:w="992" w:type="dxa"/>
            <w:shd w:val="clear" w:color="auto" w:fill="E7F9FF"/>
            <w:hideMark/>
          </w:tcPr>
          <w:p w:rsidR="00EA6CFD" w:rsidRPr="00EA6CFD" w:rsidRDefault="00EA6CFD" w:rsidP="000915E1">
            <w:pPr>
              <w:spacing w:before="40" w:after="40"/>
              <w:jc w:val="center"/>
              <w:rPr>
                <w:rFonts w:ascii="Times New Roman" w:hAnsi="Times New Roman" w:cs="Times New Roman"/>
                <w:b/>
                <w:color w:val="00B050"/>
                <w:sz w:val="18"/>
                <w:szCs w:val="18"/>
              </w:rPr>
            </w:pPr>
            <w:r w:rsidRPr="00EA6CFD">
              <w:rPr>
                <w:rFonts w:ascii="Times New Roman" w:hAnsi="Times New Roman" w:cs="Times New Roman"/>
                <w:b/>
                <w:color w:val="00B050"/>
                <w:sz w:val="18"/>
                <w:szCs w:val="18"/>
              </w:rPr>
              <w:t>47,30</w:t>
            </w:r>
          </w:p>
        </w:tc>
        <w:tc>
          <w:tcPr>
            <w:tcW w:w="709"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17,37</w:t>
            </w:r>
          </w:p>
        </w:tc>
        <w:tc>
          <w:tcPr>
            <w:tcW w:w="1276" w:type="dxa"/>
            <w:shd w:val="clear" w:color="auto" w:fill="FCEEE4"/>
            <w:hideMark/>
          </w:tcPr>
          <w:p w:rsidR="00EA6CFD" w:rsidRPr="00EA6CFD" w:rsidRDefault="00EA6CFD" w:rsidP="008D603E">
            <w:pPr>
              <w:spacing w:before="40" w:after="40"/>
              <w:jc w:val="center"/>
              <w:rPr>
                <w:rFonts w:ascii="Times New Roman" w:hAnsi="Times New Roman" w:cs="Times New Roman"/>
                <w:sz w:val="18"/>
                <w:szCs w:val="18"/>
              </w:rPr>
            </w:pPr>
            <w:r w:rsidRPr="00EA6CFD">
              <w:rPr>
                <w:rFonts w:ascii="Times New Roman" w:hAnsi="Times New Roman" w:cs="Times New Roman"/>
                <w:sz w:val="18"/>
                <w:szCs w:val="18"/>
              </w:rPr>
              <w:t>35,33</w:t>
            </w:r>
          </w:p>
        </w:tc>
      </w:tr>
      <w:tr w:rsidR="000915E1" w:rsidRPr="00EA6CFD" w:rsidTr="00FE4AB8">
        <w:trPr>
          <w:trHeight w:val="191"/>
        </w:trPr>
        <w:tc>
          <w:tcPr>
            <w:tcW w:w="426"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27</w:t>
            </w:r>
          </w:p>
        </w:tc>
        <w:tc>
          <w:tcPr>
            <w:tcW w:w="7967" w:type="dxa"/>
            <w:hideMark/>
          </w:tcPr>
          <w:p w:rsidR="00EA6CFD" w:rsidRPr="00EA6CFD" w:rsidRDefault="00EA6CFD" w:rsidP="00EA6CFD">
            <w:pPr>
              <w:jc w:val="both"/>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Kültür ve sanat etkinlikleri ile bu amaçla kurulmuş tesislerden</w:t>
            </w:r>
          </w:p>
        </w:tc>
        <w:tc>
          <w:tcPr>
            <w:tcW w:w="992" w:type="dxa"/>
            <w:shd w:val="clear" w:color="auto" w:fill="E7F9FF"/>
            <w:hideMark/>
          </w:tcPr>
          <w:p w:rsidR="00EA6CFD" w:rsidRPr="00EA6CFD" w:rsidRDefault="00EA6CFD" w:rsidP="000915E1">
            <w:pPr>
              <w:spacing w:before="40" w:after="40"/>
              <w:jc w:val="center"/>
              <w:rPr>
                <w:rFonts w:ascii="Times New Roman" w:hAnsi="Times New Roman" w:cs="Times New Roman"/>
                <w:b/>
                <w:color w:val="00B050"/>
                <w:sz w:val="18"/>
                <w:szCs w:val="18"/>
              </w:rPr>
            </w:pPr>
            <w:r w:rsidRPr="00EA6CFD">
              <w:rPr>
                <w:rFonts w:ascii="Times New Roman" w:hAnsi="Times New Roman" w:cs="Times New Roman"/>
                <w:b/>
                <w:color w:val="00B050"/>
                <w:sz w:val="18"/>
                <w:szCs w:val="18"/>
              </w:rPr>
              <w:t>46,11</w:t>
            </w:r>
          </w:p>
        </w:tc>
        <w:tc>
          <w:tcPr>
            <w:tcW w:w="709"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37,13</w:t>
            </w:r>
          </w:p>
        </w:tc>
        <w:tc>
          <w:tcPr>
            <w:tcW w:w="1276" w:type="dxa"/>
            <w:shd w:val="clear" w:color="auto" w:fill="FCEEE4"/>
            <w:hideMark/>
          </w:tcPr>
          <w:p w:rsidR="00EA6CFD" w:rsidRPr="00EA6CFD" w:rsidRDefault="00EA6CFD" w:rsidP="008D603E">
            <w:pPr>
              <w:spacing w:before="40" w:after="40"/>
              <w:jc w:val="center"/>
              <w:rPr>
                <w:rFonts w:ascii="Times New Roman" w:hAnsi="Times New Roman" w:cs="Times New Roman"/>
                <w:sz w:val="18"/>
                <w:szCs w:val="18"/>
              </w:rPr>
            </w:pPr>
            <w:r w:rsidRPr="00EA6CFD">
              <w:rPr>
                <w:rFonts w:ascii="Times New Roman" w:hAnsi="Times New Roman" w:cs="Times New Roman"/>
                <w:sz w:val="18"/>
                <w:szCs w:val="18"/>
              </w:rPr>
              <w:t>16,76</w:t>
            </w:r>
          </w:p>
        </w:tc>
      </w:tr>
      <w:tr w:rsidR="000915E1" w:rsidRPr="00EA6CFD" w:rsidTr="00FE4AB8">
        <w:trPr>
          <w:trHeight w:val="168"/>
        </w:trPr>
        <w:tc>
          <w:tcPr>
            <w:tcW w:w="426"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28</w:t>
            </w:r>
          </w:p>
        </w:tc>
        <w:tc>
          <w:tcPr>
            <w:tcW w:w="7967" w:type="dxa"/>
            <w:hideMark/>
          </w:tcPr>
          <w:p w:rsidR="00EA6CFD" w:rsidRPr="00EA6CFD" w:rsidRDefault="00EA6CFD" w:rsidP="00EA6CFD">
            <w:pPr>
              <w:jc w:val="both"/>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Üniversite’de (ve ilgili birimde) görev yapan idari ve destek personelin niteliğinden</w:t>
            </w:r>
          </w:p>
        </w:tc>
        <w:tc>
          <w:tcPr>
            <w:tcW w:w="992" w:type="dxa"/>
            <w:shd w:val="clear" w:color="auto" w:fill="E7F9FF"/>
            <w:hideMark/>
          </w:tcPr>
          <w:p w:rsidR="00EA6CFD" w:rsidRPr="00EA6CFD" w:rsidRDefault="00EA6CFD" w:rsidP="000915E1">
            <w:pPr>
              <w:spacing w:before="40" w:after="40"/>
              <w:jc w:val="center"/>
              <w:rPr>
                <w:rFonts w:ascii="Times New Roman" w:hAnsi="Times New Roman" w:cs="Times New Roman"/>
                <w:b/>
                <w:color w:val="00B050"/>
                <w:sz w:val="18"/>
                <w:szCs w:val="18"/>
              </w:rPr>
            </w:pPr>
            <w:r w:rsidRPr="00EA6CFD">
              <w:rPr>
                <w:rFonts w:ascii="Times New Roman" w:hAnsi="Times New Roman" w:cs="Times New Roman"/>
                <w:b/>
                <w:color w:val="00B050"/>
                <w:sz w:val="18"/>
                <w:szCs w:val="18"/>
              </w:rPr>
              <w:t>46,11</w:t>
            </w:r>
          </w:p>
        </w:tc>
        <w:tc>
          <w:tcPr>
            <w:tcW w:w="709"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26,94</w:t>
            </w:r>
          </w:p>
        </w:tc>
        <w:tc>
          <w:tcPr>
            <w:tcW w:w="1276" w:type="dxa"/>
            <w:shd w:val="clear" w:color="auto" w:fill="FCEEE4"/>
            <w:hideMark/>
          </w:tcPr>
          <w:p w:rsidR="00EA6CFD" w:rsidRPr="00EA6CFD" w:rsidRDefault="00EA6CFD" w:rsidP="008D603E">
            <w:pPr>
              <w:spacing w:before="40" w:after="40"/>
              <w:jc w:val="center"/>
              <w:rPr>
                <w:rFonts w:ascii="Times New Roman" w:hAnsi="Times New Roman" w:cs="Times New Roman"/>
                <w:sz w:val="18"/>
                <w:szCs w:val="18"/>
              </w:rPr>
            </w:pPr>
            <w:r w:rsidRPr="00EA6CFD">
              <w:rPr>
                <w:rFonts w:ascii="Times New Roman" w:hAnsi="Times New Roman" w:cs="Times New Roman"/>
                <w:sz w:val="18"/>
                <w:szCs w:val="18"/>
              </w:rPr>
              <w:t>26,95</w:t>
            </w:r>
          </w:p>
        </w:tc>
      </w:tr>
      <w:tr w:rsidR="000915E1" w:rsidRPr="00EA6CFD" w:rsidTr="003F7D4E">
        <w:trPr>
          <w:trHeight w:val="180"/>
        </w:trPr>
        <w:tc>
          <w:tcPr>
            <w:tcW w:w="426"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29</w:t>
            </w:r>
          </w:p>
        </w:tc>
        <w:tc>
          <w:tcPr>
            <w:tcW w:w="7967" w:type="dxa"/>
            <w:hideMark/>
          </w:tcPr>
          <w:p w:rsidR="00EA6CFD" w:rsidRPr="00EA6CFD" w:rsidRDefault="00EA6CFD" w:rsidP="00EA6CFD">
            <w:pPr>
              <w:jc w:val="both"/>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Senato ve Üniversite Yönetim Kurulu kararlarının şeffaflık ve hesap verilebilirliğinden</w:t>
            </w:r>
          </w:p>
        </w:tc>
        <w:tc>
          <w:tcPr>
            <w:tcW w:w="992" w:type="dxa"/>
            <w:shd w:val="clear" w:color="auto" w:fill="E7F9FF"/>
            <w:hideMark/>
          </w:tcPr>
          <w:p w:rsidR="00EA6CFD" w:rsidRPr="00EA6CFD" w:rsidRDefault="00EA6CFD" w:rsidP="000915E1">
            <w:pPr>
              <w:spacing w:before="40" w:after="40"/>
              <w:jc w:val="center"/>
              <w:rPr>
                <w:rFonts w:ascii="Times New Roman" w:hAnsi="Times New Roman" w:cs="Times New Roman"/>
                <w:b/>
                <w:color w:val="00B050"/>
                <w:sz w:val="18"/>
                <w:szCs w:val="18"/>
              </w:rPr>
            </w:pPr>
            <w:r w:rsidRPr="00EA6CFD">
              <w:rPr>
                <w:rFonts w:ascii="Times New Roman" w:hAnsi="Times New Roman" w:cs="Times New Roman"/>
                <w:b/>
                <w:color w:val="00B050"/>
                <w:sz w:val="18"/>
                <w:szCs w:val="18"/>
              </w:rPr>
              <w:t>46,11</w:t>
            </w:r>
          </w:p>
        </w:tc>
        <w:tc>
          <w:tcPr>
            <w:tcW w:w="709"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31,14</w:t>
            </w:r>
          </w:p>
        </w:tc>
        <w:tc>
          <w:tcPr>
            <w:tcW w:w="1276" w:type="dxa"/>
            <w:shd w:val="clear" w:color="auto" w:fill="FCEEE4"/>
            <w:hideMark/>
          </w:tcPr>
          <w:p w:rsidR="00EA6CFD" w:rsidRPr="00EA6CFD" w:rsidRDefault="00EA6CFD" w:rsidP="008D603E">
            <w:pPr>
              <w:spacing w:before="40" w:after="40"/>
              <w:jc w:val="center"/>
              <w:rPr>
                <w:rFonts w:ascii="Times New Roman" w:hAnsi="Times New Roman" w:cs="Times New Roman"/>
                <w:sz w:val="18"/>
                <w:szCs w:val="18"/>
              </w:rPr>
            </w:pPr>
            <w:r w:rsidRPr="00EA6CFD">
              <w:rPr>
                <w:rFonts w:ascii="Times New Roman" w:hAnsi="Times New Roman" w:cs="Times New Roman"/>
                <w:sz w:val="18"/>
                <w:szCs w:val="18"/>
              </w:rPr>
              <w:t>22,75</w:t>
            </w:r>
          </w:p>
        </w:tc>
      </w:tr>
      <w:tr w:rsidR="000915E1" w:rsidRPr="00EA6CFD" w:rsidTr="00FE4AB8">
        <w:trPr>
          <w:trHeight w:val="148"/>
        </w:trPr>
        <w:tc>
          <w:tcPr>
            <w:tcW w:w="426"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30</w:t>
            </w:r>
          </w:p>
        </w:tc>
        <w:tc>
          <w:tcPr>
            <w:tcW w:w="7967" w:type="dxa"/>
            <w:hideMark/>
          </w:tcPr>
          <w:p w:rsidR="00EA6CFD" w:rsidRPr="00EA6CFD" w:rsidRDefault="00EA6CFD" w:rsidP="00EA6CFD">
            <w:pPr>
              <w:jc w:val="both"/>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Üniversite’de (ve ilgili birimde) görev yapan idari ve destek personel sayısından</w:t>
            </w:r>
          </w:p>
        </w:tc>
        <w:tc>
          <w:tcPr>
            <w:tcW w:w="992" w:type="dxa"/>
            <w:shd w:val="clear" w:color="auto" w:fill="E7F9FF"/>
            <w:hideMark/>
          </w:tcPr>
          <w:p w:rsidR="00EA6CFD" w:rsidRPr="00EA6CFD" w:rsidRDefault="00EA6CFD" w:rsidP="000915E1">
            <w:pPr>
              <w:spacing w:before="40" w:after="40"/>
              <w:jc w:val="center"/>
              <w:rPr>
                <w:rFonts w:ascii="Times New Roman" w:hAnsi="Times New Roman" w:cs="Times New Roman"/>
                <w:b/>
                <w:color w:val="00B050"/>
                <w:sz w:val="18"/>
                <w:szCs w:val="18"/>
              </w:rPr>
            </w:pPr>
            <w:r w:rsidRPr="00EA6CFD">
              <w:rPr>
                <w:rFonts w:ascii="Times New Roman" w:hAnsi="Times New Roman" w:cs="Times New Roman"/>
                <w:b/>
                <w:color w:val="00B050"/>
                <w:sz w:val="18"/>
                <w:szCs w:val="18"/>
              </w:rPr>
              <w:t>45,52</w:t>
            </w:r>
          </w:p>
        </w:tc>
        <w:tc>
          <w:tcPr>
            <w:tcW w:w="709"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23,35</w:t>
            </w:r>
          </w:p>
        </w:tc>
        <w:tc>
          <w:tcPr>
            <w:tcW w:w="1276" w:type="dxa"/>
            <w:shd w:val="clear" w:color="auto" w:fill="FCEEE4"/>
            <w:hideMark/>
          </w:tcPr>
          <w:p w:rsidR="00EA6CFD" w:rsidRPr="00EA6CFD" w:rsidRDefault="00EA6CFD" w:rsidP="008D603E">
            <w:pPr>
              <w:spacing w:before="40" w:after="40"/>
              <w:jc w:val="center"/>
              <w:rPr>
                <w:rFonts w:ascii="Times New Roman" w:hAnsi="Times New Roman" w:cs="Times New Roman"/>
                <w:sz w:val="18"/>
                <w:szCs w:val="18"/>
              </w:rPr>
            </w:pPr>
            <w:r w:rsidRPr="00EA6CFD">
              <w:rPr>
                <w:rFonts w:ascii="Times New Roman" w:hAnsi="Times New Roman" w:cs="Times New Roman"/>
                <w:sz w:val="18"/>
                <w:szCs w:val="18"/>
              </w:rPr>
              <w:t>31,13</w:t>
            </w:r>
          </w:p>
        </w:tc>
      </w:tr>
      <w:tr w:rsidR="000915E1" w:rsidRPr="00EA6CFD" w:rsidTr="00FE4AB8">
        <w:trPr>
          <w:trHeight w:val="137"/>
        </w:trPr>
        <w:tc>
          <w:tcPr>
            <w:tcW w:w="426"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31</w:t>
            </w:r>
          </w:p>
        </w:tc>
        <w:tc>
          <w:tcPr>
            <w:tcW w:w="7967" w:type="dxa"/>
            <w:hideMark/>
          </w:tcPr>
          <w:p w:rsidR="00EA6CFD" w:rsidRPr="00EA6CFD" w:rsidRDefault="00EA6CFD" w:rsidP="00EA6CFD">
            <w:pPr>
              <w:jc w:val="both"/>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Sağlık hizmetleri ve bu amaçla kurulmuş tesislerden</w:t>
            </w:r>
          </w:p>
        </w:tc>
        <w:tc>
          <w:tcPr>
            <w:tcW w:w="992" w:type="dxa"/>
            <w:shd w:val="clear" w:color="auto" w:fill="E7F9FF"/>
            <w:hideMark/>
          </w:tcPr>
          <w:p w:rsidR="00EA6CFD" w:rsidRPr="00EA6CFD" w:rsidRDefault="00EA6CFD" w:rsidP="000915E1">
            <w:pPr>
              <w:spacing w:before="40" w:after="40"/>
              <w:jc w:val="center"/>
              <w:rPr>
                <w:rFonts w:ascii="Times New Roman" w:hAnsi="Times New Roman" w:cs="Times New Roman"/>
                <w:b/>
                <w:color w:val="00B050"/>
                <w:sz w:val="18"/>
                <w:szCs w:val="18"/>
              </w:rPr>
            </w:pPr>
            <w:r w:rsidRPr="00EA6CFD">
              <w:rPr>
                <w:rFonts w:ascii="Times New Roman" w:hAnsi="Times New Roman" w:cs="Times New Roman"/>
                <w:b/>
                <w:color w:val="00B050"/>
                <w:sz w:val="18"/>
                <w:szCs w:val="18"/>
              </w:rPr>
              <w:t>45,51</w:t>
            </w:r>
          </w:p>
        </w:tc>
        <w:tc>
          <w:tcPr>
            <w:tcW w:w="709"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32,34</w:t>
            </w:r>
          </w:p>
        </w:tc>
        <w:tc>
          <w:tcPr>
            <w:tcW w:w="1276" w:type="dxa"/>
            <w:shd w:val="clear" w:color="auto" w:fill="FCEEE4"/>
            <w:hideMark/>
          </w:tcPr>
          <w:p w:rsidR="00EA6CFD" w:rsidRPr="00EA6CFD" w:rsidRDefault="00EA6CFD" w:rsidP="008D603E">
            <w:pPr>
              <w:spacing w:before="40" w:after="40"/>
              <w:jc w:val="center"/>
              <w:rPr>
                <w:rFonts w:ascii="Times New Roman" w:hAnsi="Times New Roman" w:cs="Times New Roman"/>
                <w:sz w:val="18"/>
                <w:szCs w:val="18"/>
              </w:rPr>
            </w:pPr>
            <w:r w:rsidRPr="00EA6CFD">
              <w:rPr>
                <w:rFonts w:ascii="Times New Roman" w:hAnsi="Times New Roman" w:cs="Times New Roman"/>
                <w:sz w:val="18"/>
                <w:szCs w:val="18"/>
              </w:rPr>
              <w:t>22,15</w:t>
            </w:r>
          </w:p>
        </w:tc>
      </w:tr>
      <w:tr w:rsidR="000915E1" w:rsidRPr="00EA6CFD" w:rsidTr="00FE4AB8">
        <w:trPr>
          <w:trHeight w:val="412"/>
        </w:trPr>
        <w:tc>
          <w:tcPr>
            <w:tcW w:w="426"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32</w:t>
            </w:r>
          </w:p>
        </w:tc>
        <w:tc>
          <w:tcPr>
            <w:tcW w:w="7967" w:type="dxa"/>
            <w:hideMark/>
          </w:tcPr>
          <w:p w:rsidR="00EA6CFD" w:rsidRPr="00EA6CFD" w:rsidRDefault="00EA6CFD" w:rsidP="00EA6CFD">
            <w:pPr>
              <w:jc w:val="both"/>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İdari personelin üstleriyle / amirleriyle olan ilişkileri, üst ve alt kademeler arasında sorunların tartışılma olanakları ve geribildirim süreçlerinden</w:t>
            </w:r>
          </w:p>
        </w:tc>
        <w:tc>
          <w:tcPr>
            <w:tcW w:w="992" w:type="dxa"/>
            <w:shd w:val="clear" w:color="auto" w:fill="E7F9FF"/>
            <w:hideMark/>
          </w:tcPr>
          <w:p w:rsidR="00EA6CFD" w:rsidRPr="00EA6CFD" w:rsidRDefault="00EA6CFD" w:rsidP="000915E1">
            <w:pPr>
              <w:spacing w:before="40" w:after="40"/>
              <w:jc w:val="center"/>
              <w:rPr>
                <w:rFonts w:ascii="Times New Roman" w:hAnsi="Times New Roman" w:cs="Times New Roman"/>
                <w:b/>
                <w:color w:val="00B050"/>
                <w:sz w:val="18"/>
                <w:szCs w:val="18"/>
              </w:rPr>
            </w:pPr>
            <w:r w:rsidRPr="00EA6CFD">
              <w:rPr>
                <w:rFonts w:ascii="Times New Roman" w:hAnsi="Times New Roman" w:cs="Times New Roman"/>
                <w:b/>
                <w:color w:val="00B050"/>
                <w:sz w:val="18"/>
                <w:szCs w:val="18"/>
              </w:rPr>
              <w:t>44,31</w:t>
            </w:r>
          </w:p>
        </w:tc>
        <w:tc>
          <w:tcPr>
            <w:tcW w:w="709"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26,95</w:t>
            </w:r>
          </w:p>
        </w:tc>
        <w:tc>
          <w:tcPr>
            <w:tcW w:w="1276" w:type="dxa"/>
            <w:shd w:val="clear" w:color="auto" w:fill="FCEEE4"/>
            <w:hideMark/>
          </w:tcPr>
          <w:p w:rsidR="00EA6CFD" w:rsidRPr="00EA6CFD" w:rsidRDefault="00EA6CFD" w:rsidP="008D603E">
            <w:pPr>
              <w:spacing w:before="40" w:after="40"/>
              <w:jc w:val="center"/>
              <w:rPr>
                <w:rFonts w:ascii="Times New Roman" w:hAnsi="Times New Roman" w:cs="Times New Roman"/>
                <w:sz w:val="18"/>
                <w:szCs w:val="18"/>
              </w:rPr>
            </w:pPr>
            <w:r w:rsidRPr="00EA6CFD">
              <w:rPr>
                <w:rFonts w:ascii="Times New Roman" w:hAnsi="Times New Roman" w:cs="Times New Roman"/>
                <w:sz w:val="18"/>
                <w:szCs w:val="18"/>
              </w:rPr>
              <w:t>28,74</w:t>
            </w:r>
          </w:p>
        </w:tc>
      </w:tr>
      <w:tr w:rsidR="000915E1" w:rsidRPr="00EA6CFD" w:rsidTr="00FE4AB8">
        <w:trPr>
          <w:trHeight w:val="120"/>
        </w:trPr>
        <w:tc>
          <w:tcPr>
            <w:tcW w:w="426"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33</w:t>
            </w:r>
          </w:p>
        </w:tc>
        <w:tc>
          <w:tcPr>
            <w:tcW w:w="7967" w:type="dxa"/>
            <w:hideMark/>
          </w:tcPr>
          <w:p w:rsidR="00EA6CFD" w:rsidRPr="00EA6CFD" w:rsidRDefault="00EA6CFD" w:rsidP="00EA6CFD">
            <w:pPr>
              <w:jc w:val="both"/>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İdari personeline sunulan hizmet içi eğitim olanaklarından</w:t>
            </w:r>
          </w:p>
        </w:tc>
        <w:tc>
          <w:tcPr>
            <w:tcW w:w="992" w:type="dxa"/>
            <w:shd w:val="clear" w:color="auto" w:fill="E7F9FF"/>
            <w:hideMark/>
          </w:tcPr>
          <w:p w:rsidR="00EA6CFD" w:rsidRPr="00EA6CFD" w:rsidRDefault="00EA6CFD" w:rsidP="000915E1">
            <w:pPr>
              <w:spacing w:before="40" w:after="40"/>
              <w:jc w:val="center"/>
              <w:rPr>
                <w:rFonts w:ascii="Times New Roman" w:hAnsi="Times New Roman" w:cs="Times New Roman"/>
                <w:b/>
                <w:color w:val="00B050"/>
                <w:sz w:val="18"/>
                <w:szCs w:val="18"/>
              </w:rPr>
            </w:pPr>
            <w:r w:rsidRPr="00EA6CFD">
              <w:rPr>
                <w:rFonts w:ascii="Times New Roman" w:hAnsi="Times New Roman" w:cs="Times New Roman"/>
                <w:b/>
                <w:color w:val="00B050"/>
                <w:sz w:val="18"/>
                <w:szCs w:val="18"/>
              </w:rPr>
              <w:t>44,31</w:t>
            </w:r>
          </w:p>
        </w:tc>
        <w:tc>
          <w:tcPr>
            <w:tcW w:w="709"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20,36</w:t>
            </w:r>
          </w:p>
        </w:tc>
        <w:tc>
          <w:tcPr>
            <w:tcW w:w="1276" w:type="dxa"/>
            <w:shd w:val="clear" w:color="auto" w:fill="FCEEE4"/>
            <w:hideMark/>
          </w:tcPr>
          <w:p w:rsidR="00EA6CFD" w:rsidRPr="00EA6CFD" w:rsidRDefault="00EA6CFD" w:rsidP="008D603E">
            <w:pPr>
              <w:spacing w:before="40" w:after="40"/>
              <w:jc w:val="center"/>
              <w:rPr>
                <w:rFonts w:ascii="Times New Roman" w:hAnsi="Times New Roman" w:cs="Times New Roman"/>
                <w:sz w:val="18"/>
                <w:szCs w:val="18"/>
              </w:rPr>
            </w:pPr>
            <w:r w:rsidRPr="00EA6CFD">
              <w:rPr>
                <w:rFonts w:ascii="Times New Roman" w:hAnsi="Times New Roman" w:cs="Times New Roman"/>
                <w:sz w:val="18"/>
                <w:szCs w:val="18"/>
              </w:rPr>
              <w:t>35,33</w:t>
            </w:r>
          </w:p>
        </w:tc>
      </w:tr>
      <w:tr w:rsidR="000915E1" w:rsidRPr="00EA6CFD" w:rsidTr="00FE4AB8">
        <w:trPr>
          <w:trHeight w:val="252"/>
        </w:trPr>
        <w:tc>
          <w:tcPr>
            <w:tcW w:w="426"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34</w:t>
            </w:r>
          </w:p>
        </w:tc>
        <w:tc>
          <w:tcPr>
            <w:tcW w:w="7967" w:type="dxa"/>
            <w:hideMark/>
          </w:tcPr>
          <w:p w:rsidR="00EA6CFD" w:rsidRPr="00EA6CFD" w:rsidRDefault="00EA6CFD" w:rsidP="00EA6CFD">
            <w:pPr>
              <w:jc w:val="both"/>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Diğer üniversiteler ile olan ilişkilerden</w:t>
            </w:r>
          </w:p>
        </w:tc>
        <w:tc>
          <w:tcPr>
            <w:tcW w:w="992" w:type="dxa"/>
            <w:shd w:val="clear" w:color="auto" w:fill="E7F9FF"/>
            <w:hideMark/>
          </w:tcPr>
          <w:p w:rsidR="00EA6CFD" w:rsidRPr="00EA6CFD" w:rsidRDefault="00EA6CFD" w:rsidP="000915E1">
            <w:pPr>
              <w:spacing w:before="40" w:after="40"/>
              <w:jc w:val="center"/>
              <w:rPr>
                <w:rFonts w:ascii="Times New Roman" w:hAnsi="Times New Roman" w:cs="Times New Roman"/>
                <w:b/>
                <w:color w:val="00B050"/>
                <w:sz w:val="18"/>
                <w:szCs w:val="18"/>
              </w:rPr>
            </w:pPr>
            <w:r w:rsidRPr="00EA6CFD">
              <w:rPr>
                <w:rFonts w:ascii="Times New Roman" w:hAnsi="Times New Roman" w:cs="Times New Roman"/>
                <w:b/>
                <w:color w:val="00B050"/>
                <w:sz w:val="18"/>
                <w:szCs w:val="18"/>
              </w:rPr>
              <w:t>43,12</w:t>
            </w:r>
          </w:p>
        </w:tc>
        <w:tc>
          <w:tcPr>
            <w:tcW w:w="709"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48,50</w:t>
            </w:r>
          </w:p>
        </w:tc>
        <w:tc>
          <w:tcPr>
            <w:tcW w:w="1276" w:type="dxa"/>
            <w:shd w:val="clear" w:color="auto" w:fill="FCEEE4"/>
            <w:hideMark/>
          </w:tcPr>
          <w:p w:rsidR="00EA6CFD" w:rsidRPr="00EA6CFD" w:rsidRDefault="00EA6CFD" w:rsidP="008D603E">
            <w:pPr>
              <w:spacing w:before="40" w:after="40"/>
              <w:jc w:val="center"/>
              <w:rPr>
                <w:rFonts w:ascii="Times New Roman" w:hAnsi="Times New Roman" w:cs="Times New Roman"/>
                <w:sz w:val="18"/>
                <w:szCs w:val="18"/>
              </w:rPr>
            </w:pPr>
            <w:r w:rsidRPr="00EA6CFD">
              <w:rPr>
                <w:rFonts w:ascii="Times New Roman" w:hAnsi="Times New Roman" w:cs="Times New Roman"/>
                <w:sz w:val="18"/>
                <w:szCs w:val="18"/>
              </w:rPr>
              <w:t>8,38</w:t>
            </w:r>
          </w:p>
        </w:tc>
      </w:tr>
      <w:tr w:rsidR="000915E1" w:rsidRPr="00EA6CFD" w:rsidTr="00FE4AB8">
        <w:trPr>
          <w:trHeight w:val="242"/>
        </w:trPr>
        <w:tc>
          <w:tcPr>
            <w:tcW w:w="426"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35</w:t>
            </w:r>
          </w:p>
        </w:tc>
        <w:tc>
          <w:tcPr>
            <w:tcW w:w="7967" w:type="dxa"/>
            <w:hideMark/>
          </w:tcPr>
          <w:p w:rsidR="00EA6CFD" w:rsidRPr="00EA6CFD" w:rsidRDefault="00EA6CFD" w:rsidP="00EA6CFD">
            <w:pPr>
              <w:jc w:val="both"/>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Üniversitemizin Türkiye’deki diğer üniversiteler içindeki konumundan</w:t>
            </w:r>
          </w:p>
        </w:tc>
        <w:tc>
          <w:tcPr>
            <w:tcW w:w="992" w:type="dxa"/>
            <w:shd w:val="clear" w:color="auto" w:fill="E7F9FF"/>
            <w:hideMark/>
          </w:tcPr>
          <w:p w:rsidR="00EA6CFD" w:rsidRPr="00EA6CFD" w:rsidRDefault="00EA6CFD" w:rsidP="000915E1">
            <w:pPr>
              <w:spacing w:before="40" w:after="40"/>
              <w:jc w:val="center"/>
              <w:rPr>
                <w:rFonts w:ascii="Times New Roman" w:hAnsi="Times New Roman" w:cs="Times New Roman"/>
                <w:b/>
                <w:color w:val="00B050"/>
                <w:sz w:val="18"/>
                <w:szCs w:val="18"/>
              </w:rPr>
            </w:pPr>
            <w:r w:rsidRPr="00EA6CFD">
              <w:rPr>
                <w:rFonts w:ascii="Times New Roman" w:hAnsi="Times New Roman" w:cs="Times New Roman"/>
                <w:b/>
                <w:color w:val="00B050"/>
                <w:sz w:val="18"/>
                <w:szCs w:val="18"/>
              </w:rPr>
              <w:t>42,52</w:t>
            </w:r>
          </w:p>
        </w:tc>
        <w:tc>
          <w:tcPr>
            <w:tcW w:w="709" w:type="dxa"/>
            <w:hideMark/>
          </w:tcPr>
          <w:p w:rsidR="00EA6CFD" w:rsidRPr="00EA6CFD" w:rsidRDefault="00EA6CFD" w:rsidP="00EA6CFD">
            <w:pPr>
              <w:jc w:val="center"/>
              <w:rPr>
                <w:rFonts w:ascii="Times New Roman" w:eastAsia="Times New Roman" w:hAnsi="Times New Roman" w:cs="Times New Roman"/>
                <w:color w:val="000000"/>
                <w:sz w:val="16"/>
                <w:szCs w:val="16"/>
                <w:lang w:eastAsia="tr-TR"/>
              </w:rPr>
            </w:pPr>
            <w:r w:rsidRPr="00EA6CFD">
              <w:rPr>
                <w:rFonts w:ascii="Times New Roman" w:eastAsia="Times New Roman" w:hAnsi="Times New Roman" w:cs="Times New Roman"/>
                <w:color w:val="000000"/>
                <w:sz w:val="16"/>
                <w:szCs w:val="16"/>
                <w:lang w:eastAsia="tr-TR"/>
              </w:rPr>
              <w:t>29,94</w:t>
            </w:r>
          </w:p>
        </w:tc>
        <w:tc>
          <w:tcPr>
            <w:tcW w:w="1276" w:type="dxa"/>
            <w:shd w:val="clear" w:color="auto" w:fill="FCEEE4"/>
            <w:hideMark/>
          </w:tcPr>
          <w:p w:rsidR="00EA6CFD" w:rsidRPr="00EA6CFD" w:rsidRDefault="00EA6CFD" w:rsidP="008D603E">
            <w:pPr>
              <w:spacing w:before="40" w:after="40"/>
              <w:jc w:val="center"/>
              <w:rPr>
                <w:rFonts w:ascii="Times New Roman" w:hAnsi="Times New Roman" w:cs="Times New Roman"/>
                <w:sz w:val="18"/>
                <w:szCs w:val="18"/>
              </w:rPr>
            </w:pPr>
            <w:r w:rsidRPr="00EA6CFD">
              <w:rPr>
                <w:rFonts w:ascii="Times New Roman" w:hAnsi="Times New Roman" w:cs="Times New Roman"/>
                <w:sz w:val="18"/>
                <w:szCs w:val="18"/>
              </w:rPr>
              <w:t>27,54</w:t>
            </w:r>
          </w:p>
        </w:tc>
      </w:tr>
    </w:tbl>
    <w:p w:rsidR="005E5F89" w:rsidRDefault="005E5F89" w:rsidP="002404CD">
      <w:pPr>
        <w:jc w:val="both"/>
        <w:rPr>
          <w:rFonts w:ascii="Times New Roman" w:hAnsi="Times New Roman" w:cs="Times New Roman"/>
          <w:noProof/>
          <w:sz w:val="16"/>
          <w:szCs w:val="16"/>
          <w:lang w:eastAsia="tr-TR"/>
        </w:rPr>
      </w:pPr>
    </w:p>
    <w:p w:rsidR="00A028B5" w:rsidRDefault="00A028B5" w:rsidP="002404CD">
      <w:pPr>
        <w:jc w:val="both"/>
        <w:rPr>
          <w:rFonts w:ascii="Times New Roman" w:hAnsi="Times New Roman" w:cs="Times New Roman"/>
          <w:noProof/>
          <w:sz w:val="16"/>
          <w:szCs w:val="16"/>
          <w:lang w:eastAsia="tr-TR"/>
        </w:rPr>
      </w:pPr>
    </w:p>
    <w:p w:rsidR="00A028B5" w:rsidRDefault="00A028B5" w:rsidP="002404CD">
      <w:pPr>
        <w:jc w:val="both"/>
        <w:rPr>
          <w:rFonts w:ascii="Times New Roman" w:hAnsi="Times New Roman" w:cs="Times New Roman"/>
          <w:noProof/>
          <w:sz w:val="16"/>
          <w:szCs w:val="16"/>
          <w:lang w:eastAsia="tr-TR"/>
        </w:rPr>
      </w:pPr>
    </w:p>
    <w:p w:rsidR="00A028B5" w:rsidRDefault="00A028B5" w:rsidP="002404CD">
      <w:pPr>
        <w:jc w:val="both"/>
        <w:rPr>
          <w:rFonts w:ascii="Times New Roman" w:hAnsi="Times New Roman" w:cs="Times New Roman"/>
          <w:noProof/>
          <w:sz w:val="16"/>
          <w:szCs w:val="16"/>
          <w:lang w:eastAsia="tr-TR"/>
        </w:rPr>
      </w:pPr>
    </w:p>
    <w:p w:rsidR="00A028B5" w:rsidRDefault="00A028B5" w:rsidP="002404CD">
      <w:pPr>
        <w:jc w:val="both"/>
        <w:rPr>
          <w:rFonts w:ascii="Times New Roman" w:hAnsi="Times New Roman" w:cs="Times New Roman"/>
          <w:noProof/>
          <w:sz w:val="16"/>
          <w:szCs w:val="16"/>
          <w:lang w:eastAsia="tr-TR"/>
        </w:rPr>
      </w:pPr>
    </w:p>
    <w:p w:rsidR="00A028B5" w:rsidRDefault="00A028B5" w:rsidP="002404CD">
      <w:pPr>
        <w:jc w:val="both"/>
        <w:rPr>
          <w:rFonts w:ascii="Times New Roman" w:hAnsi="Times New Roman" w:cs="Times New Roman"/>
          <w:noProof/>
          <w:sz w:val="16"/>
          <w:szCs w:val="16"/>
          <w:lang w:eastAsia="tr-TR"/>
        </w:rPr>
      </w:pPr>
    </w:p>
    <w:p w:rsidR="00A028B5" w:rsidRDefault="00A028B5" w:rsidP="002404CD">
      <w:pPr>
        <w:jc w:val="both"/>
        <w:rPr>
          <w:rFonts w:ascii="Times New Roman" w:hAnsi="Times New Roman" w:cs="Times New Roman"/>
          <w:noProof/>
          <w:sz w:val="16"/>
          <w:szCs w:val="16"/>
          <w:lang w:eastAsia="tr-TR"/>
        </w:rPr>
      </w:pPr>
    </w:p>
    <w:p w:rsidR="00E73DD2" w:rsidRDefault="00E73DD2" w:rsidP="00E73DD2">
      <w:pPr>
        <w:ind w:hanging="284"/>
        <w:jc w:val="both"/>
        <w:rPr>
          <w:rFonts w:ascii="Times New Roman" w:hAnsi="Times New Roman" w:cs="Times New Roman"/>
          <w:sz w:val="16"/>
          <w:szCs w:val="16"/>
        </w:rPr>
      </w:pPr>
      <w:r>
        <w:rPr>
          <w:noProof/>
          <w:lang w:eastAsia="tr-TR"/>
        </w:rPr>
        <w:drawing>
          <wp:inline distT="0" distB="0" distL="0" distR="0" wp14:anchorId="1A6E90EC" wp14:editId="261410EC">
            <wp:extent cx="7164705" cy="8297839"/>
            <wp:effectExtent l="0" t="0" r="17145" b="8255"/>
            <wp:docPr id="1" name="Grafik 1" title="1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F3BAD" w:rsidRDefault="00FF3BAD" w:rsidP="002404CD">
      <w:pPr>
        <w:jc w:val="both"/>
        <w:rPr>
          <w:rFonts w:ascii="Times New Roman" w:hAnsi="Times New Roman" w:cs="Times New Roman"/>
          <w:sz w:val="16"/>
          <w:szCs w:val="16"/>
        </w:rPr>
      </w:pPr>
    </w:p>
    <w:p w:rsidR="00A028B5" w:rsidRDefault="00A028B5" w:rsidP="002404CD">
      <w:pPr>
        <w:jc w:val="both"/>
        <w:rPr>
          <w:rFonts w:ascii="Times New Roman" w:hAnsi="Times New Roman" w:cs="Times New Roman"/>
          <w:sz w:val="16"/>
          <w:szCs w:val="16"/>
        </w:rPr>
      </w:pPr>
    </w:p>
    <w:p w:rsidR="00A028B5" w:rsidRDefault="00A028B5" w:rsidP="002404CD">
      <w:pPr>
        <w:jc w:val="both"/>
        <w:rPr>
          <w:rFonts w:ascii="Times New Roman" w:hAnsi="Times New Roman" w:cs="Times New Roman"/>
          <w:sz w:val="16"/>
          <w:szCs w:val="16"/>
        </w:rPr>
      </w:pPr>
    </w:p>
    <w:p w:rsidR="00A028B5" w:rsidRDefault="00A028B5" w:rsidP="002404CD">
      <w:pPr>
        <w:jc w:val="both"/>
        <w:rPr>
          <w:rFonts w:ascii="Times New Roman" w:hAnsi="Times New Roman" w:cs="Times New Roman"/>
          <w:sz w:val="16"/>
          <w:szCs w:val="16"/>
        </w:rPr>
      </w:pPr>
    </w:p>
    <w:p w:rsidR="00A028B5" w:rsidRDefault="00A028B5" w:rsidP="002404CD">
      <w:pPr>
        <w:jc w:val="both"/>
        <w:rPr>
          <w:rFonts w:ascii="Times New Roman" w:hAnsi="Times New Roman" w:cs="Times New Roman"/>
          <w:sz w:val="16"/>
          <w:szCs w:val="16"/>
        </w:rPr>
      </w:pPr>
    </w:p>
    <w:tbl>
      <w:tblPr>
        <w:tblStyle w:val="TabloKlavuzu2"/>
        <w:tblW w:w="11370" w:type="dxa"/>
        <w:tblInd w:w="-318" w:type="dxa"/>
        <w:tblLayout w:type="fixed"/>
        <w:tblLook w:val="04A0" w:firstRow="1" w:lastRow="0" w:firstColumn="1" w:lastColumn="0" w:noHBand="0" w:noVBand="1"/>
      </w:tblPr>
      <w:tblGrid>
        <w:gridCol w:w="426"/>
        <w:gridCol w:w="7825"/>
        <w:gridCol w:w="993"/>
        <w:gridCol w:w="850"/>
        <w:gridCol w:w="1276"/>
      </w:tblGrid>
      <w:tr w:rsidR="00F461A8" w:rsidRPr="00F461A8" w:rsidTr="00160373">
        <w:trPr>
          <w:cantSplit/>
          <w:trHeight w:val="306"/>
        </w:trPr>
        <w:tc>
          <w:tcPr>
            <w:tcW w:w="8251" w:type="dxa"/>
            <w:gridSpan w:val="2"/>
            <w:vMerge w:val="restart"/>
            <w:vAlign w:val="center"/>
          </w:tcPr>
          <w:p w:rsidR="00F461A8" w:rsidRPr="00F461A8" w:rsidRDefault="00F461A8" w:rsidP="00F461A8">
            <w:pPr>
              <w:jc w:val="center"/>
              <w:rPr>
                <w:rFonts w:ascii="Times New Roman" w:hAnsi="Times New Roman" w:cs="Times New Roman"/>
                <w:color w:val="C00000"/>
                <w:sz w:val="24"/>
                <w:szCs w:val="24"/>
              </w:rPr>
            </w:pPr>
            <w:r w:rsidRPr="00F461A8">
              <w:rPr>
                <w:rFonts w:ascii="Times New Roman" w:hAnsi="Times New Roman" w:cs="Times New Roman"/>
                <w:b/>
                <w:sz w:val="24"/>
                <w:szCs w:val="24"/>
              </w:rPr>
              <w:t xml:space="preserve">Tablo </w:t>
            </w:r>
            <w:r w:rsidR="003B686B">
              <w:rPr>
                <w:rFonts w:ascii="Times New Roman" w:hAnsi="Times New Roman" w:cs="Times New Roman"/>
                <w:b/>
                <w:sz w:val="24"/>
                <w:szCs w:val="24"/>
              </w:rPr>
              <w:t>3</w:t>
            </w:r>
            <w:r w:rsidRPr="00F461A8">
              <w:rPr>
                <w:rFonts w:ascii="Times New Roman" w:hAnsi="Times New Roman" w:cs="Times New Roman"/>
                <w:b/>
                <w:sz w:val="24"/>
                <w:szCs w:val="24"/>
              </w:rPr>
              <w:t xml:space="preserve">: </w:t>
            </w:r>
            <w:r w:rsidRPr="00F461A8">
              <w:rPr>
                <w:rFonts w:ascii="Times New Roman" w:hAnsi="Times New Roman" w:cs="Times New Roman"/>
                <w:color w:val="C00000"/>
                <w:sz w:val="24"/>
                <w:szCs w:val="24"/>
              </w:rPr>
              <w:t xml:space="preserve">Memnuniyetsizliğin Yüksek Olduğu Konular </w:t>
            </w:r>
            <w:r>
              <w:rPr>
                <w:rFonts w:ascii="Times New Roman" w:hAnsi="Times New Roman" w:cs="Times New Roman"/>
                <w:color w:val="C00000"/>
                <w:sz w:val="24"/>
                <w:szCs w:val="24"/>
              </w:rPr>
              <w:t>Yüzde</w:t>
            </w:r>
            <w:r w:rsidR="008A338F">
              <w:rPr>
                <w:rFonts w:ascii="Times New Roman" w:hAnsi="Times New Roman" w:cs="Times New Roman"/>
                <w:color w:val="C00000"/>
                <w:sz w:val="24"/>
                <w:szCs w:val="24"/>
              </w:rPr>
              <w:t xml:space="preserve"> </w:t>
            </w:r>
            <w:r w:rsidRPr="00F461A8">
              <w:rPr>
                <w:rFonts w:ascii="Times New Roman" w:hAnsi="Times New Roman" w:cs="Times New Roman"/>
                <w:color w:val="C00000"/>
                <w:sz w:val="24"/>
                <w:szCs w:val="24"/>
              </w:rPr>
              <w:t>(%)</w:t>
            </w:r>
          </w:p>
          <w:p w:rsidR="00F461A8" w:rsidRPr="00F461A8" w:rsidRDefault="00F461A8" w:rsidP="00F461A8">
            <w:pPr>
              <w:jc w:val="center"/>
              <w:rPr>
                <w:rFonts w:ascii="Times New Roman" w:hAnsi="Times New Roman" w:cs="Times New Roman"/>
                <w:sz w:val="24"/>
                <w:szCs w:val="24"/>
              </w:rPr>
            </w:pPr>
            <w:r w:rsidRPr="00F461A8">
              <w:rPr>
                <w:rFonts w:ascii="Times New Roman" w:hAnsi="Times New Roman" w:cs="Times New Roman"/>
                <w:color w:val="C00000"/>
                <w:sz w:val="24"/>
                <w:szCs w:val="24"/>
              </w:rPr>
              <w:t>(Yüksekten Düşüğe Göre Sıralı)</w:t>
            </w:r>
          </w:p>
          <w:p w:rsidR="00F461A8" w:rsidRPr="00F461A8" w:rsidRDefault="00F461A8" w:rsidP="00F461A8">
            <w:pPr>
              <w:jc w:val="center"/>
              <w:rPr>
                <w:rFonts w:ascii="Times New Roman" w:hAnsi="Times New Roman" w:cs="Times New Roman"/>
                <w:sz w:val="20"/>
                <w:szCs w:val="20"/>
              </w:rPr>
            </w:pPr>
          </w:p>
          <w:p w:rsidR="00F461A8" w:rsidRPr="00F461A8" w:rsidRDefault="0028045D" w:rsidP="00F461A8">
            <w:pPr>
              <w:jc w:val="center"/>
              <w:rPr>
                <w:rFonts w:ascii="Times New Roman" w:hAnsi="Times New Roman" w:cs="Times New Roman"/>
                <w:sz w:val="24"/>
                <w:szCs w:val="24"/>
              </w:rPr>
            </w:pPr>
            <w:r w:rsidRPr="00BF1838">
              <w:rPr>
                <w:rFonts w:ascii="Times New Roman" w:hAnsi="Times New Roman" w:cs="Times New Roman"/>
                <w:sz w:val="24"/>
                <w:szCs w:val="24"/>
              </w:rPr>
              <w:t>Ankete katılan idari personel sayısı: 167</w:t>
            </w:r>
          </w:p>
        </w:tc>
        <w:tc>
          <w:tcPr>
            <w:tcW w:w="3119" w:type="dxa"/>
            <w:gridSpan w:val="3"/>
            <w:tcBorders>
              <w:bottom w:val="single" w:sz="4" w:space="0" w:color="auto"/>
            </w:tcBorders>
            <w:vAlign w:val="center"/>
          </w:tcPr>
          <w:p w:rsidR="00F461A8" w:rsidRPr="00F461A8" w:rsidRDefault="00F461A8" w:rsidP="00F461A8">
            <w:pPr>
              <w:jc w:val="center"/>
              <w:rPr>
                <w:rFonts w:ascii="Times New Roman" w:hAnsi="Times New Roman" w:cs="Times New Roman"/>
                <w:b/>
                <w:sz w:val="18"/>
                <w:szCs w:val="18"/>
              </w:rPr>
            </w:pPr>
            <w:r w:rsidRPr="00F461A8">
              <w:rPr>
                <w:rFonts w:ascii="Times New Roman" w:hAnsi="Times New Roman" w:cs="Times New Roman"/>
                <w:b/>
                <w:sz w:val="18"/>
                <w:szCs w:val="18"/>
              </w:rPr>
              <w:t xml:space="preserve">MEMNUNİYET DÜZEYİ </w:t>
            </w:r>
          </w:p>
        </w:tc>
      </w:tr>
      <w:tr w:rsidR="00F461A8" w:rsidRPr="00F461A8" w:rsidTr="00160373">
        <w:trPr>
          <w:cantSplit/>
          <w:trHeight w:val="1584"/>
        </w:trPr>
        <w:tc>
          <w:tcPr>
            <w:tcW w:w="8251" w:type="dxa"/>
            <w:gridSpan w:val="2"/>
            <w:vMerge/>
            <w:tcBorders>
              <w:bottom w:val="single" w:sz="4" w:space="0" w:color="auto"/>
            </w:tcBorders>
          </w:tcPr>
          <w:p w:rsidR="00F461A8" w:rsidRPr="00F461A8" w:rsidRDefault="00F461A8" w:rsidP="00F461A8">
            <w:pPr>
              <w:rPr>
                <w:rFonts w:ascii="Times New Roman" w:hAnsi="Times New Roman" w:cs="Times New Roman"/>
                <w:sz w:val="20"/>
                <w:szCs w:val="20"/>
              </w:rPr>
            </w:pPr>
          </w:p>
        </w:tc>
        <w:tc>
          <w:tcPr>
            <w:tcW w:w="993" w:type="dxa"/>
            <w:tcBorders>
              <w:bottom w:val="single" w:sz="4" w:space="0" w:color="auto"/>
            </w:tcBorders>
            <w:shd w:val="clear" w:color="auto" w:fill="E7F9FF"/>
            <w:textDirection w:val="btLr"/>
            <w:vAlign w:val="center"/>
          </w:tcPr>
          <w:p w:rsidR="00F461A8" w:rsidRPr="00F461A8" w:rsidRDefault="00F461A8" w:rsidP="00F461A8">
            <w:pPr>
              <w:ind w:left="113" w:right="113"/>
              <w:jc w:val="center"/>
              <w:rPr>
                <w:rFonts w:ascii="Times New Roman" w:hAnsi="Times New Roman" w:cs="Times New Roman"/>
                <w:color w:val="00B050"/>
                <w:sz w:val="18"/>
                <w:szCs w:val="18"/>
              </w:rPr>
            </w:pPr>
            <w:r w:rsidRPr="00F461A8">
              <w:rPr>
                <w:rFonts w:ascii="Times New Roman" w:hAnsi="Times New Roman" w:cs="Times New Roman"/>
                <w:color w:val="00B050"/>
                <w:sz w:val="18"/>
                <w:szCs w:val="18"/>
              </w:rPr>
              <w:t>Çok memnunum</w:t>
            </w:r>
          </w:p>
          <w:p w:rsidR="00F461A8" w:rsidRPr="00F461A8" w:rsidRDefault="00F461A8" w:rsidP="00F461A8">
            <w:pPr>
              <w:ind w:left="113" w:right="113"/>
              <w:jc w:val="center"/>
              <w:rPr>
                <w:rFonts w:ascii="Times New Roman" w:hAnsi="Times New Roman" w:cs="Times New Roman"/>
                <w:color w:val="00B050"/>
                <w:sz w:val="18"/>
                <w:szCs w:val="18"/>
              </w:rPr>
            </w:pPr>
            <w:r w:rsidRPr="00F461A8">
              <w:rPr>
                <w:rFonts w:ascii="Times New Roman" w:hAnsi="Times New Roman" w:cs="Times New Roman"/>
                <w:color w:val="00B050"/>
                <w:sz w:val="18"/>
                <w:szCs w:val="18"/>
              </w:rPr>
              <w:t>&amp;</w:t>
            </w:r>
          </w:p>
          <w:p w:rsidR="00F461A8" w:rsidRPr="00F461A8" w:rsidRDefault="00F461A8" w:rsidP="00F461A8">
            <w:pPr>
              <w:ind w:left="113" w:right="113"/>
              <w:jc w:val="center"/>
              <w:rPr>
                <w:rFonts w:ascii="Times New Roman" w:hAnsi="Times New Roman" w:cs="Times New Roman"/>
                <w:color w:val="00B050"/>
                <w:sz w:val="18"/>
                <w:szCs w:val="18"/>
              </w:rPr>
            </w:pPr>
            <w:r w:rsidRPr="00F461A8">
              <w:rPr>
                <w:rFonts w:ascii="Times New Roman" w:hAnsi="Times New Roman" w:cs="Times New Roman"/>
                <w:color w:val="00B050"/>
                <w:sz w:val="18"/>
                <w:szCs w:val="18"/>
              </w:rPr>
              <w:t>Memnunum</w:t>
            </w:r>
          </w:p>
        </w:tc>
        <w:tc>
          <w:tcPr>
            <w:tcW w:w="850" w:type="dxa"/>
            <w:tcBorders>
              <w:bottom w:val="single" w:sz="4" w:space="0" w:color="auto"/>
            </w:tcBorders>
            <w:textDirection w:val="btLr"/>
            <w:vAlign w:val="center"/>
          </w:tcPr>
          <w:p w:rsidR="00F461A8" w:rsidRPr="00F461A8" w:rsidRDefault="00F461A8" w:rsidP="00F461A8">
            <w:pPr>
              <w:ind w:left="113" w:right="113"/>
              <w:jc w:val="center"/>
              <w:rPr>
                <w:rFonts w:ascii="Times New Roman" w:hAnsi="Times New Roman" w:cs="Times New Roman"/>
                <w:sz w:val="18"/>
                <w:szCs w:val="18"/>
              </w:rPr>
            </w:pPr>
            <w:r w:rsidRPr="00F461A8">
              <w:rPr>
                <w:rFonts w:ascii="Times New Roman" w:hAnsi="Times New Roman" w:cs="Times New Roman"/>
                <w:sz w:val="18"/>
                <w:szCs w:val="18"/>
              </w:rPr>
              <w:t>Kararsızım</w:t>
            </w:r>
          </w:p>
        </w:tc>
        <w:tc>
          <w:tcPr>
            <w:tcW w:w="1276" w:type="dxa"/>
            <w:tcBorders>
              <w:bottom w:val="single" w:sz="4" w:space="0" w:color="auto"/>
            </w:tcBorders>
            <w:shd w:val="clear" w:color="auto" w:fill="FCEEE4"/>
            <w:textDirection w:val="btLr"/>
            <w:vAlign w:val="center"/>
          </w:tcPr>
          <w:p w:rsidR="00F461A8" w:rsidRPr="00F461A8" w:rsidRDefault="00F461A8" w:rsidP="00F461A8">
            <w:pPr>
              <w:ind w:left="113" w:right="113"/>
              <w:jc w:val="center"/>
              <w:rPr>
                <w:rFonts w:ascii="Times New Roman" w:hAnsi="Times New Roman" w:cs="Times New Roman"/>
                <w:color w:val="C00000"/>
                <w:sz w:val="18"/>
                <w:szCs w:val="18"/>
              </w:rPr>
            </w:pPr>
            <w:r w:rsidRPr="00F461A8">
              <w:rPr>
                <w:rFonts w:ascii="Times New Roman" w:hAnsi="Times New Roman" w:cs="Times New Roman"/>
                <w:color w:val="C00000"/>
                <w:sz w:val="18"/>
                <w:szCs w:val="18"/>
              </w:rPr>
              <w:t>Memnun değilim</w:t>
            </w:r>
          </w:p>
          <w:p w:rsidR="00F461A8" w:rsidRPr="00F461A8" w:rsidRDefault="00F461A8" w:rsidP="00F461A8">
            <w:pPr>
              <w:spacing w:after="60"/>
              <w:ind w:left="113" w:right="113"/>
              <w:jc w:val="center"/>
              <w:rPr>
                <w:rFonts w:ascii="Times New Roman" w:hAnsi="Times New Roman" w:cs="Times New Roman"/>
                <w:color w:val="C00000"/>
                <w:sz w:val="18"/>
                <w:szCs w:val="18"/>
              </w:rPr>
            </w:pPr>
            <w:r w:rsidRPr="00F461A8">
              <w:rPr>
                <w:rFonts w:ascii="Times New Roman" w:hAnsi="Times New Roman" w:cs="Times New Roman"/>
                <w:color w:val="C00000"/>
                <w:sz w:val="18"/>
                <w:szCs w:val="18"/>
              </w:rPr>
              <w:t>&amp;</w:t>
            </w:r>
          </w:p>
          <w:p w:rsidR="00F461A8" w:rsidRPr="00F461A8" w:rsidRDefault="00F461A8" w:rsidP="00F461A8">
            <w:pPr>
              <w:spacing w:after="60"/>
              <w:ind w:left="113" w:right="113"/>
              <w:jc w:val="center"/>
              <w:rPr>
                <w:rFonts w:ascii="Times New Roman" w:hAnsi="Times New Roman" w:cs="Times New Roman"/>
                <w:color w:val="C00000"/>
                <w:sz w:val="18"/>
                <w:szCs w:val="18"/>
              </w:rPr>
            </w:pPr>
            <w:r w:rsidRPr="00F461A8">
              <w:rPr>
                <w:rFonts w:ascii="Times New Roman" w:hAnsi="Times New Roman" w:cs="Times New Roman"/>
                <w:color w:val="C00000"/>
                <w:sz w:val="18"/>
                <w:szCs w:val="18"/>
              </w:rPr>
              <w:t>Hiç memnun değilim</w:t>
            </w:r>
          </w:p>
        </w:tc>
      </w:tr>
      <w:tr w:rsidR="00B05765" w:rsidRPr="00F461A8" w:rsidTr="00160373">
        <w:tc>
          <w:tcPr>
            <w:tcW w:w="426" w:type="dxa"/>
            <w:shd w:val="clear" w:color="auto" w:fill="auto"/>
            <w:vAlign w:val="center"/>
          </w:tcPr>
          <w:p w:rsidR="00B05765" w:rsidRPr="00F461A8" w:rsidRDefault="00B05765" w:rsidP="00B05765">
            <w:pPr>
              <w:spacing w:before="40" w:after="40"/>
              <w:jc w:val="center"/>
              <w:rPr>
                <w:rFonts w:ascii="Times New Roman" w:hAnsi="Times New Roman" w:cs="Times New Roman"/>
                <w:sz w:val="18"/>
                <w:szCs w:val="18"/>
              </w:rPr>
            </w:pPr>
          </w:p>
        </w:tc>
        <w:tc>
          <w:tcPr>
            <w:tcW w:w="7825" w:type="dxa"/>
            <w:shd w:val="clear" w:color="auto" w:fill="auto"/>
            <w:vAlign w:val="center"/>
          </w:tcPr>
          <w:p w:rsidR="00B05765" w:rsidRPr="00F461A8" w:rsidRDefault="00B05765" w:rsidP="00B05765">
            <w:pPr>
              <w:spacing w:before="40" w:after="40"/>
              <w:jc w:val="center"/>
              <w:rPr>
                <w:rFonts w:ascii="Times New Roman" w:hAnsi="Times New Roman" w:cs="Times New Roman"/>
                <w:sz w:val="18"/>
                <w:szCs w:val="18"/>
              </w:rPr>
            </w:pPr>
          </w:p>
        </w:tc>
        <w:tc>
          <w:tcPr>
            <w:tcW w:w="993" w:type="dxa"/>
            <w:shd w:val="clear" w:color="auto" w:fill="E7F9FF"/>
            <w:vAlign w:val="center"/>
          </w:tcPr>
          <w:p w:rsidR="00B05765" w:rsidRPr="004F7E46" w:rsidRDefault="00B05765" w:rsidP="00B05765">
            <w:pPr>
              <w:jc w:val="center"/>
            </w:pPr>
            <w:r w:rsidRPr="004F7E46">
              <w:t>%</w:t>
            </w:r>
          </w:p>
        </w:tc>
        <w:tc>
          <w:tcPr>
            <w:tcW w:w="850" w:type="dxa"/>
            <w:shd w:val="clear" w:color="auto" w:fill="auto"/>
            <w:vAlign w:val="center"/>
          </w:tcPr>
          <w:p w:rsidR="00B05765" w:rsidRPr="00B87A11" w:rsidRDefault="00B05765" w:rsidP="00B05765">
            <w:pPr>
              <w:jc w:val="center"/>
            </w:pPr>
            <w:r w:rsidRPr="00B87A11">
              <w:t>%</w:t>
            </w:r>
          </w:p>
        </w:tc>
        <w:tc>
          <w:tcPr>
            <w:tcW w:w="1276" w:type="dxa"/>
            <w:shd w:val="clear" w:color="auto" w:fill="FCEEE4"/>
            <w:vAlign w:val="center"/>
          </w:tcPr>
          <w:p w:rsidR="00B05765" w:rsidRPr="00187BED" w:rsidRDefault="00B05765" w:rsidP="00B05765">
            <w:pPr>
              <w:jc w:val="center"/>
              <w:rPr>
                <w:color w:val="FF0000"/>
              </w:rPr>
            </w:pPr>
            <w:r w:rsidRPr="00187BED">
              <w:rPr>
                <w:color w:val="FF0000"/>
              </w:rPr>
              <w:t>%</w:t>
            </w:r>
          </w:p>
        </w:tc>
      </w:tr>
      <w:tr w:rsidR="00695A71" w:rsidRPr="005F6789" w:rsidTr="00F41C84">
        <w:trPr>
          <w:trHeight w:val="375"/>
        </w:trPr>
        <w:tc>
          <w:tcPr>
            <w:tcW w:w="426" w:type="dxa"/>
            <w:shd w:val="clear" w:color="auto" w:fill="FCEEE4"/>
            <w:hideMark/>
          </w:tcPr>
          <w:p w:rsidR="005F6789" w:rsidRPr="00F41C84" w:rsidRDefault="005F6789" w:rsidP="005F6789">
            <w:pPr>
              <w:jc w:val="center"/>
              <w:rPr>
                <w:rFonts w:ascii="Times New Roman" w:eastAsia="Times New Roman" w:hAnsi="Times New Roman" w:cs="Times New Roman"/>
                <w:b/>
                <w:color w:val="FF0000"/>
                <w:lang w:eastAsia="tr-TR"/>
              </w:rPr>
            </w:pPr>
            <w:r w:rsidRPr="00F41C84">
              <w:rPr>
                <w:rFonts w:ascii="Times New Roman" w:eastAsia="Times New Roman" w:hAnsi="Times New Roman" w:cs="Times New Roman"/>
                <w:b/>
                <w:color w:val="FF0000"/>
                <w:lang w:eastAsia="tr-TR"/>
              </w:rPr>
              <w:t>1</w:t>
            </w:r>
          </w:p>
        </w:tc>
        <w:tc>
          <w:tcPr>
            <w:tcW w:w="7825" w:type="dxa"/>
            <w:shd w:val="clear" w:color="auto" w:fill="FCEEE4"/>
            <w:hideMark/>
          </w:tcPr>
          <w:p w:rsidR="005F6789" w:rsidRPr="00F41C84" w:rsidRDefault="005F6789" w:rsidP="005F6789">
            <w:pPr>
              <w:jc w:val="both"/>
              <w:rPr>
                <w:rFonts w:ascii="Times New Roman" w:eastAsia="Times New Roman" w:hAnsi="Times New Roman" w:cs="Times New Roman"/>
                <w:b/>
                <w:color w:val="FF0000"/>
                <w:lang w:eastAsia="tr-TR"/>
              </w:rPr>
            </w:pPr>
            <w:r w:rsidRPr="00F41C84">
              <w:rPr>
                <w:rFonts w:ascii="Times New Roman" w:eastAsia="Times New Roman" w:hAnsi="Times New Roman" w:cs="Times New Roman"/>
                <w:b/>
                <w:color w:val="FF0000"/>
                <w:lang w:eastAsia="tr-TR"/>
              </w:rPr>
              <w:t>İdari görevlere seçilme ve yükseltme ölçütlerinden</w:t>
            </w:r>
          </w:p>
        </w:tc>
        <w:tc>
          <w:tcPr>
            <w:tcW w:w="993" w:type="dxa"/>
            <w:shd w:val="clear" w:color="auto" w:fill="E7F9FF"/>
            <w:vAlign w:val="center"/>
            <w:hideMark/>
          </w:tcPr>
          <w:p w:rsidR="005F6789" w:rsidRPr="005F6789" w:rsidRDefault="005F6789" w:rsidP="00C15159">
            <w:pPr>
              <w:jc w:val="center"/>
              <w:rPr>
                <w:rFonts w:ascii="Times New Roman" w:eastAsia="Times New Roman" w:hAnsi="Times New Roman" w:cs="Times New Roman"/>
                <w:sz w:val="16"/>
                <w:szCs w:val="16"/>
                <w:lang w:eastAsia="tr-TR"/>
              </w:rPr>
            </w:pPr>
            <w:r w:rsidRPr="005F6789">
              <w:rPr>
                <w:rFonts w:ascii="Times New Roman" w:eastAsia="Times New Roman" w:hAnsi="Times New Roman" w:cs="Times New Roman"/>
                <w:sz w:val="16"/>
                <w:szCs w:val="16"/>
                <w:lang w:eastAsia="tr-TR"/>
              </w:rPr>
              <w:t>28,74</w:t>
            </w:r>
          </w:p>
        </w:tc>
        <w:tc>
          <w:tcPr>
            <w:tcW w:w="850" w:type="dxa"/>
            <w:vAlign w:val="center"/>
            <w:hideMark/>
          </w:tcPr>
          <w:p w:rsidR="005F6789" w:rsidRPr="005F6789" w:rsidRDefault="005F6789" w:rsidP="00C15159">
            <w:pPr>
              <w:jc w:val="center"/>
              <w:rPr>
                <w:rFonts w:ascii="Times New Roman" w:eastAsia="Times New Roman" w:hAnsi="Times New Roman" w:cs="Times New Roman"/>
                <w:color w:val="000000"/>
                <w:sz w:val="16"/>
                <w:szCs w:val="16"/>
                <w:lang w:eastAsia="tr-TR"/>
              </w:rPr>
            </w:pPr>
            <w:r w:rsidRPr="005F6789">
              <w:rPr>
                <w:rFonts w:ascii="Times New Roman" w:eastAsia="Times New Roman" w:hAnsi="Times New Roman" w:cs="Times New Roman"/>
                <w:color w:val="000000"/>
                <w:sz w:val="16"/>
                <w:szCs w:val="16"/>
                <w:lang w:eastAsia="tr-TR"/>
              </w:rPr>
              <w:t>19,17</w:t>
            </w:r>
          </w:p>
        </w:tc>
        <w:tc>
          <w:tcPr>
            <w:tcW w:w="1276" w:type="dxa"/>
            <w:shd w:val="clear" w:color="auto" w:fill="DCC5ED"/>
            <w:vAlign w:val="center"/>
            <w:hideMark/>
          </w:tcPr>
          <w:p w:rsidR="005F6789" w:rsidRPr="0071365F" w:rsidRDefault="005F6789" w:rsidP="00C15159">
            <w:pPr>
              <w:jc w:val="center"/>
              <w:rPr>
                <w:rFonts w:ascii="Times New Roman" w:eastAsia="Times New Roman" w:hAnsi="Times New Roman" w:cs="Times New Roman"/>
                <w:b/>
                <w:color w:val="FF0000"/>
                <w:lang w:eastAsia="tr-TR"/>
              </w:rPr>
            </w:pPr>
            <w:r w:rsidRPr="0071365F">
              <w:rPr>
                <w:rFonts w:ascii="Times New Roman" w:eastAsia="Times New Roman" w:hAnsi="Times New Roman" w:cs="Times New Roman"/>
                <w:b/>
                <w:color w:val="FF0000"/>
                <w:lang w:eastAsia="tr-TR"/>
              </w:rPr>
              <w:t>52,09</w:t>
            </w:r>
          </w:p>
        </w:tc>
      </w:tr>
      <w:tr w:rsidR="00695A71" w:rsidRPr="005F6789" w:rsidTr="00160373">
        <w:trPr>
          <w:trHeight w:val="375"/>
        </w:trPr>
        <w:tc>
          <w:tcPr>
            <w:tcW w:w="426" w:type="dxa"/>
            <w:hideMark/>
          </w:tcPr>
          <w:p w:rsidR="005F6789" w:rsidRPr="005F6789" w:rsidRDefault="005F6789" w:rsidP="005F6789">
            <w:pPr>
              <w:jc w:val="center"/>
              <w:rPr>
                <w:rFonts w:ascii="Times New Roman" w:eastAsia="Times New Roman" w:hAnsi="Times New Roman" w:cs="Times New Roman"/>
                <w:color w:val="000000"/>
                <w:sz w:val="16"/>
                <w:szCs w:val="16"/>
                <w:lang w:eastAsia="tr-TR"/>
              </w:rPr>
            </w:pPr>
            <w:r w:rsidRPr="005F6789">
              <w:rPr>
                <w:rFonts w:ascii="Times New Roman" w:eastAsia="Times New Roman" w:hAnsi="Times New Roman" w:cs="Times New Roman"/>
                <w:color w:val="000000"/>
                <w:sz w:val="16"/>
                <w:szCs w:val="16"/>
                <w:lang w:eastAsia="tr-TR"/>
              </w:rPr>
              <w:t>2</w:t>
            </w:r>
          </w:p>
        </w:tc>
        <w:tc>
          <w:tcPr>
            <w:tcW w:w="7825" w:type="dxa"/>
            <w:hideMark/>
          </w:tcPr>
          <w:p w:rsidR="005F6789" w:rsidRPr="005F6789" w:rsidRDefault="005F6789" w:rsidP="005F6789">
            <w:pPr>
              <w:jc w:val="both"/>
              <w:rPr>
                <w:rFonts w:ascii="Times New Roman" w:eastAsia="Times New Roman" w:hAnsi="Times New Roman" w:cs="Times New Roman"/>
                <w:color w:val="000000"/>
                <w:sz w:val="16"/>
                <w:szCs w:val="16"/>
                <w:lang w:eastAsia="tr-TR"/>
              </w:rPr>
            </w:pPr>
            <w:r w:rsidRPr="005F6789">
              <w:rPr>
                <w:rFonts w:ascii="Times New Roman" w:eastAsia="Times New Roman" w:hAnsi="Times New Roman" w:cs="Times New Roman"/>
                <w:color w:val="000000"/>
                <w:sz w:val="16"/>
                <w:szCs w:val="16"/>
                <w:lang w:eastAsia="tr-TR"/>
              </w:rPr>
              <w:t>İdari kadrolara atanmada mesleki yeterliliğin göz önünde bulundurulmasından</w:t>
            </w:r>
          </w:p>
        </w:tc>
        <w:tc>
          <w:tcPr>
            <w:tcW w:w="993" w:type="dxa"/>
            <w:shd w:val="clear" w:color="auto" w:fill="E7F9FF"/>
            <w:vAlign w:val="center"/>
            <w:hideMark/>
          </w:tcPr>
          <w:p w:rsidR="005F6789" w:rsidRPr="005F6789" w:rsidRDefault="005F6789" w:rsidP="00C15159">
            <w:pPr>
              <w:jc w:val="center"/>
              <w:rPr>
                <w:rFonts w:ascii="Times New Roman" w:eastAsia="Times New Roman" w:hAnsi="Times New Roman" w:cs="Times New Roman"/>
                <w:sz w:val="16"/>
                <w:szCs w:val="16"/>
                <w:lang w:eastAsia="tr-TR"/>
              </w:rPr>
            </w:pPr>
            <w:r w:rsidRPr="005F6789">
              <w:rPr>
                <w:rFonts w:ascii="Times New Roman" w:eastAsia="Times New Roman" w:hAnsi="Times New Roman" w:cs="Times New Roman"/>
                <w:sz w:val="16"/>
                <w:szCs w:val="16"/>
                <w:lang w:eastAsia="tr-TR"/>
              </w:rPr>
              <w:t>31,14</w:t>
            </w:r>
          </w:p>
        </w:tc>
        <w:tc>
          <w:tcPr>
            <w:tcW w:w="850" w:type="dxa"/>
            <w:vAlign w:val="center"/>
            <w:hideMark/>
          </w:tcPr>
          <w:p w:rsidR="005F6789" w:rsidRPr="005F6789" w:rsidRDefault="005F6789" w:rsidP="00C15159">
            <w:pPr>
              <w:jc w:val="center"/>
              <w:rPr>
                <w:rFonts w:ascii="Times New Roman" w:eastAsia="Times New Roman" w:hAnsi="Times New Roman" w:cs="Times New Roman"/>
                <w:color w:val="000000"/>
                <w:sz w:val="16"/>
                <w:szCs w:val="16"/>
                <w:lang w:eastAsia="tr-TR"/>
              </w:rPr>
            </w:pPr>
            <w:r w:rsidRPr="005F6789">
              <w:rPr>
                <w:rFonts w:ascii="Times New Roman" w:eastAsia="Times New Roman" w:hAnsi="Times New Roman" w:cs="Times New Roman"/>
                <w:color w:val="000000"/>
                <w:sz w:val="16"/>
                <w:szCs w:val="16"/>
                <w:lang w:eastAsia="tr-TR"/>
              </w:rPr>
              <w:t>17,96</w:t>
            </w:r>
          </w:p>
        </w:tc>
        <w:tc>
          <w:tcPr>
            <w:tcW w:w="1276" w:type="dxa"/>
            <w:shd w:val="clear" w:color="auto" w:fill="FCEEE4"/>
            <w:vAlign w:val="center"/>
            <w:hideMark/>
          </w:tcPr>
          <w:p w:rsidR="005F6789" w:rsidRPr="005F6789" w:rsidRDefault="005F6789" w:rsidP="00C15159">
            <w:pPr>
              <w:jc w:val="center"/>
              <w:rPr>
                <w:rFonts w:ascii="Times New Roman" w:eastAsia="Times New Roman" w:hAnsi="Times New Roman" w:cs="Times New Roman"/>
                <w:b/>
                <w:color w:val="FF0000"/>
                <w:sz w:val="16"/>
                <w:szCs w:val="16"/>
                <w:lang w:eastAsia="tr-TR"/>
              </w:rPr>
            </w:pPr>
            <w:r w:rsidRPr="005F6789">
              <w:rPr>
                <w:rFonts w:ascii="Times New Roman" w:eastAsia="Times New Roman" w:hAnsi="Times New Roman" w:cs="Times New Roman"/>
                <w:b/>
                <w:color w:val="FF0000"/>
                <w:sz w:val="16"/>
                <w:szCs w:val="16"/>
                <w:lang w:eastAsia="tr-TR"/>
              </w:rPr>
              <w:t>50,90</w:t>
            </w:r>
          </w:p>
        </w:tc>
      </w:tr>
      <w:tr w:rsidR="00695A71" w:rsidRPr="005F6789" w:rsidTr="00160373">
        <w:trPr>
          <w:trHeight w:val="375"/>
        </w:trPr>
        <w:tc>
          <w:tcPr>
            <w:tcW w:w="426" w:type="dxa"/>
            <w:hideMark/>
          </w:tcPr>
          <w:p w:rsidR="005F6789" w:rsidRPr="005F6789" w:rsidRDefault="005F6789" w:rsidP="005F6789">
            <w:pPr>
              <w:jc w:val="center"/>
              <w:rPr>
                <w:rFonts w:ascii="Times New Roman" w:eastAsia="Times New Roman" w:hAnsi="Times New Roman" w:cs="Times New Roman"/>
                <w:color w:val="000000"/>
                <w:sz w:val="16"/>
                <w:szCs w:val="16"/>
                <w:lang w:eastAsia="tr-TR"/>
              </w:rPr>
            </w:pPr>
            <w:r w:rsidRPr="005F6789">
              <w:rPr>
                <w:rFonts w:ascii="Times New Roman" w:eastAsia="Times New Roman" w:hAnsi="Times New Roman" w:cs="Times New Roman"/>
                <w:color w:val="000000"/>
                <w:sz w:val="16"/>
                <w:szCs w:val="16"/>
                <w:lang w:eastAsia="tr-TR"/>
              </w:rPr>
              <w:t>3</w:t>
            </w:r>
          </w:p>
        </w:tc>
        <w:tc>
          <w:tcPr>
            <w:tcW w:w="7825" w:type="dxa"/>
            <w:hideMark/>
          </w:tcPr>
          <w:p w:rsidR="005F6789" w:rsidRPr="005F6789" w:rsidRDefault="005F6789" w:rsidP="005F6789">
            <w:pPr>
              <w:jc w:val="both"/>
              <w:rPr>
                <w:rFonts w:ascii="Times New Roman" w:eastAsia="Times New Roman" w:hAnsi="Times New Roman" w:cs="Times New Roman"/>
                <w:color w:val="000000"/>
                <w:sz w:val="16"/>
                <w:szCs w:val="16"/>
                <w:lang w:eastAsia="tr-TR"/>
              </w:rPr>
            </w:pPr>
            <w:r w:rsidRPr="005F6789">
              <w:rPr>
                <w:rFonts w:ascii="Times New Roman" w:eastAsia="Times New Roman" w:hAnsi="Times New Roman" w:cs="Times New Roman"/>
                <w:color w:val="000000"/>
                <w:sz w:val="16"/>
                <w:szCs w:val="16"/>
                <w:lang w:eastAsia="tr-TR"/>
              </w:rPr>
              <w:t>Görev, yetki ve sorumluluk dağılımdaki adaletten</w:t>
            </w:r>
          </w:p>
        </w:tc>
        <w:tc>
          <w:tcPr>
            <w:tcW w:w="993" w:type="dxa"/>
            <w:shd w:val="clear" w:color="auto" w:fill="E7F9FF"/>
            <w:vAlign w:val="center"/>
            <w:hideMark/>
          </w:tcPr>
          <w:p w:rsidR="005F6789" w:rsidRPr="005F6789" w:rsidRDefault="005F6789" w:rsidP="00C15159">
            <w:pPr>
              <w:jc w:val="center"/>
              <w:rPr>
                <w:rFonts w:ascii="Times New Roman" w:eastAsia="Times New Roman" w:hAnsi="Times New Roman" w:cs="Times New Roman"/>
                <w:sz w:val="16"/>
                <w:szCs w:val="16"/>
                <w:lang w:eastAsia="tr-TR"/>
              </w:rPr>
            </w:pPr>
            <w:r w:rsidRPr="005F6789">
              <w:rPr>
                <w:rFonts w:ascii="Times New Roman" w:eastAsia="Times New Roman" w:hAnsi="Times New Roman" w:cs="Times New Roman"/>
                <w:sz w:val="16"/>
                <w:szCs w:val="16"/>
                <w:lang w:eastAsia="tr-TR"/>
              </w:rPr>
              <w:t>35,93</w:t>
            </w:r>
          </w:p>
        </w:tc>
        <w:tc>
          <w:tcPr>
            <w:tcW w:w="850" w:type="dxa"/>
            <w:vAlign w:val="center"/>
            <w:hideMark/>
          </w:tcPr>
          <w:p w:rsidR="005F6789" w:rsidRPr="005F6789" w:rsidRDefault="005F6789" w:rsidP="00C15159">
            <w:pPr>
              <w:jc w:val="center"/>
              <w:rPr>
                <w:rFonts w:ascii="Times New Roman" w:eastAsia="Times New Roman" w:hAnsi="Times New Roman" w:cs="Times New Roman"/>
                <w:color w:val="000000"/>
                <w:sz w:val="16"/>
                <w:szCs w:val="16"/>
                <w:lang w:eastAsia="tr-TR"/>
              </w:rPr>
            </w:pPr>
            <w:r w:rsidRPr="005F6789">
              <w:rPr>
                <w:rFonts w:ascii="Times New Roman" w:eastAsia="Times New Roman" w:hAnsi="Times New Roman" w:cs="Times New Roman"/>
                <w:color w:val="000000"/>
                <w:sz w:val="16"/>
                <w:szCs w:val="16"/>
                <w:lang w:eastAsia="tr-TR"/>
              </w:rPr>
              <w:t>17,37</w:t>
            </w:r>
          </w:p>
        </w:tc>
        <w:tc>
          <w:tcPr>
            <w:tcW w:w="1276" w:type="dxa"/>
            <w:shd w:val="clear" w:color="auto" w:fill="FCEEE4"/>
            <w:vAlign w:val="center"/>
            <w:hideMark/>
          </w:tcPr>
          <w:p w:rsidR="005F6789" w:rsidRPr="005F6789" w:rsidRDefault="005F6789" w:rsidP="00C15159">
            <w:pPr>
              <w:jc w:val="center"/>
              <w:rPr>
                <w:rFonts w:ascii="Times New Roman" w:eastAsia="Times New Roman" w:hAnsi="Times New Roman" w:cs="Times New Roman"/>
                <w:b/>
                <w:color w:val="FF0000"/>
                <w:sz w:val="16"/>
                <w:szCs w:val="16"/>
                <w:lang w:eastAsia="tr-TR"/>
              </w:rPr>
            </w:pPr>
            <w:r w:rsidRPr="005F6789">
              <w:rPr>
                <w:rFonts w:ascii="Times New Roman" w:eastAsia="Times New Roman" w:hAnsi="Times New Roman" w:cs="Times New Roman"/>
                <w:b/>
                <w:color w:val="FF0000"/>
                <w:sz w:val="16"/>
                <w:szCs w:val="16"/>
                <w:lang w:eastAsia="tr-TR"/>
              </w:rPr>
              <w:t>46,70</w:t>
            </w:r>
          </w:p>
        </w:tc>
      </w:tr>
      <w:tr w:rsidR="00695A71" w:rsidRPr="005F6789" w:rsidTr="00160373">
        <w:trPr>
          <w:trHeight w:val="375"/>
        </w:trPr>
        <w:tc>
          <w:tcPr>
            <w:tcW w:w="426" w:type="dxa"/>
            <w:hideMark/>
          </w:tcPr>
          <w:p w:rsidR="005F6789" w:rsidRPr="005F6789" w:rsidRDefault="005F6789" w:rsidP="005F6789">
            <w:pPr>
              <w:jc w:val="center"/>
              <w:rPr>
                <w:rFonts w:ascii="Times New Roman" w:eastAsia="Times New Roman" w:hAnsi="Times New Roman" w:cs="Times New Roman"/>
                <w:color w:val="000000"/>
                <w:sz w:val="16"/>
                <w:szCs w:val="16"/>
                <w:lang w:eastAsia="tr-TR"/>
              </w:rPr>
            </w:pPr>
            <w:r w:rsidRPr="005F6789">
              <w:rPr>
                <w:rFonts w:ascii="Times New Roman" w:eastAsia="Times New Roman" w:hAnsi="Times New Roman" w:cs="Times New Roman"/>
                <w:color w:val="000000"/>
                <w:sz w:val="16"/>
                <w:szCs w:val="16"/>
                <w:lang w:eastAsia="tr-TR"/>
              </w:rPr>
              <w:t>4</w:t>
            </w:r>
          </w:p>
        </w:tc>
        <w:tc>
          <w:tcPr>
            <w:tcW w:w="7825" w:type="dxa"/>
            <w:hideMark/>
          </w:tcPr>
          <w:p w:rsidR="005F6789" w:rsidRPr="005F6789" w:rsidRDefault="005F6789" w:rsidP="005F6789">
            <w:pPr>
              <w:jc w:val="both"/>
              <w:rPr>
                <w:rFonts w:ascii="Times New Roman" w:eastAsia="Times New Roman" w:hAnsi="Times New Roman" w:cs="Times New Roman"/>
                <w:color w:val="000000"/>
                <w:sz w:val="16"/>
                <w:szCs w:val="16"/>
                <w:lang w:eastAsia="tr-TR"/>
              </w:rPr>
            </w:pPr>
            <w:r w:rsidRPr="005F6789">
              <w:rPr>
                <w:rFonts w:ascii="Times New Roman" w:eastAsia="Times New Roman" w:hAnsi="Times New Roman" w:cs="Times New Roman"/>
                <w:color w:val="000000"/>
                <w:sz w:val="16"/>
                <w:szCs w:val="16"/>
                <w:lang w:eastAsia="tr-TR"/>
              </w:rPr>
              <w:t>Fazla mesai ücreti ödemelerinin zamanlamasından</w:t>
            </w:r>
          </w:p>
        </w:tc>
        <w:tc>
          <w:tcPr>
            <w:tcW w:w="993" w:type="dxa"/>
            <w:shd w:val="clear" w:color="auto" w:fill="E7F9FF"/>
            <w:vAlign w:val="center"/>
            <w:hideMark/>
          </w:tcPr>
          <w:p w:rsidR="005F6789" w:rsidRPr="005F6789" w:rsidRDefault="005F6789" w:rsidP="00C15159">
            <w:pPr>
              <w:jc w:val="center"/>
              <w:rPr>
                <w:rFonts w:ascii="Times New Roman" w:eastAsia="Times New Roman" w:hAnsi="Times New Roman" w:cs="Times New Roman"/>
                <w:sz w:val="16"/>
                <w:szCs w:val="16"/>
                <w:lang w:eastAsia="tr-TR"/>
              </w:rPr>
            </w:pPr>
            <w:r w:rsidRPr="005F6789">
              <w:rPr>
                <w:rFonts w:ascii="Times New Roman" w:eastAsia="Times New Roman" w:hAnsi="Times New Roman" w:cs="Times New Roman"/>
                <w:sz w:val="16"/>
                <w:szCs w:val="16"/>
                <w:lang w:eastAsia="tr-TR"/>
              </w:rPr>
              <w:t>22,15</w:t>
            </w:r>
          </w:p>
        </w:tc>
        <w:tc>
          <w:tcPr>
            <w:tcW w:w="850" w:type="dxa"/>
            <w:vAlign w:val="center"/>
            <w:hideMark/>
          </w:tcPr>
          <w:p w:rsidR="005F6789" w:rsidRPr="005F6789" w:rsidRDefault="005F6789" w:rsidP="00C15159">
            <w:pPr>
              <w:jc w:val="center"/>
              <w:rPr>
                <w:rFonts w:ascii="Times New Roman" w:eastAsia="Times New Roman" w:hAnsi="Times New Roman" w:cs="Times New Roman"/>
                <w:color w:val="000000"/>
                <w:sz w:val="16"/>
                <w:szCs w:val="16"/>
                <w:lang w:eastAsia="tr-TR"/>
              </w:rPr>
            </w:pPr>
            <w:r w:rsidRPr="005F6789">
              <w:rPr>
                <w:rFonts w:ascii="Times New Roman" w:eastAsia="Times New Roman" w:hAnsi="Times New Roman" w:cs="Times New Roman"/>
                <w:color w:val="000000"/>
                <w:sz w:val="16"/>
                <w:szCs w:val="16"/>
                <w:lang w:eastAsia="tr-TR"/>
              </w:rPr>
              <w:t>31,74</w:t>
            </w:r>
          </w:p>
        </w:tc>
        <w:tc>
          <w:tcPr>
            <w:tcW w:w="1276" w:type="dxa"/>
            <w:shd w:val="clear" w:color="auto" w:fill="FCEEE4"/>
            <w:vAlign w:val="center"/>
            <w:hideMark/>
          </w:tcPr>
          <w:p w:rsidR="005F6789" w:rsidRPr="005F6789" w:rsidRDefault="005F6789" w:rsidP="00C15159">
            <w:pPr>
              <w:jc w:val="center"/>
              <w:rPr>
                <w:rFonts w:ascii="Times New Roman" w:eastAsia="Times New Roman" w:hAnsi="Times New Roman" w:cs="Times New Roman"/>
                <w:b/>
                <w:color w:val="FF0000"/>
                <w:sz w:val="16"/>
                <w:szCs w:val="16"/>
                <w:lang w:eastAsia="tr-TR"/>
              </w:rPr>
            </w:pPr>
            <w:r w:rsidRPr="005F6789">
              <w:rPr>
                <w:rFonts w:ascii="Times New Roman" w:eastAsia="Times New Roman" w:hAnsi="Times New Roman" w:cs="Times New Roman"/>
                <w:b/>
                <w:color w:val="FF0000"/>
                <w:sz w:val="16"/>
                <w:szCs w:val="16"/>
                <w:lang w:eastAsia="tr-TR"/>
              </w:rPr>
              <w:t>46,11</w:t>
            </w:r>
          </w:p>
        </w:tc>
      </w:tr>
      <w:tr w:rsidR="00695A71" w:rsidRPr="005F6789" w:rsidTr="00160373">
        <w:trPr>
          <w:trHeight w:val="375"/>
        </w:trPr>
        <w:tc>
          <w:tcPr>
            <w:tcW w:w="426" w:type="dxa"/>
            <w:hideMark/>
          </w:tcPr>
          <w:p w:rsidR="005F6789" w:rsidRPr="005F6789" w:rsidRDefault="005F6789" w:rsidP="005F6789">
            <w:pPr>
              <w:jc w:val="center"/>
              <w:rPr>
                <w:rFonts w:ascii="Times New Roman" w:eastAsia="Times New Roman" w:hAnsi="Times New Roman" w:cs="Times New Roman"/>
                <w:color w:val="000000"/>
                <w:sz w:val="16"/>
                <w:szCs w:val="16"/>
                <w:lang w:eastAsia="tr-TR"/>
              </w:rPr>
            </w:pPr>
            <w:r w:rsidRPr="005F6789">
              <w:rPr>
                <w:rFonts w:ascii="Times New Roman" w:eastAsia="Times New Roman" w:hAnsi="Times New Roman" w:cs="Times New Roman"/>
                <w:color w:val="000000"/>
                <w:sz w:val="16"/>
                <w:szCs w:val="16"/>
                <w:lang w:eastAsia="tr-TR"/>
              </w:rPr>
              <w:t>5</w:t>
            </w:r>
          </w:p>
        </w:tc>
        <w:tc>
          <w:tcPr>
            <w:tcW w:w="7825" w:type="dxa"/>
            <w:hideMark/>
          </w:tcPr>
          <w:p w:rsidR="005F6789" w:rsidRPr="005F6789" w:rsidRDefault="005F6789" w:rsidP="005F6789">
            <w:pPr>
              <w:jc w:val="both"/>
              <w:rPr>
                <w:rFonts w:ascii="Times New Roman" w:eastAsia="Times New Roman" w:hAnsi="Times New Roman" w:cs="Times New Roman"/>
                <w:color w:val="000000"/>
                <w:sz w:val="16"/>
                <w:szCs w:val="16"/>
                <w:lang w:eastAsia="tr-TR"/>
              </w:rPr>
            </w:pPr>
            <w:r w:rsidRPr="005F6789">
              <w:rPr>
                <w:rFonts w:ascii="Times New Roman" w:eastAsia="Times New Roman" w:hAnsi="Times New Roman" w:cs="Times New Roman"/>
                <w:color w:val="000000"/>
                <w:sz w:val="16"/>
                <w:szCs w:val="16"/>
                <w:lang w:eastAsia="tr-TR"/>
              </w:rPr>
              <w:t>Ödüllendirme sisteminden</w:t>
            </w:r>
          </w:p>
        </w:tc>
        <w:tc>
          <w:tcPr>
            <w:tcW w:w="993" w:type="dxa"/>
            <w:shd w:val="clear" w:color="auto" w:fill="E7F9FF"/>
            <w:vAlign w:val="center"/>
            <w:hideMark/>
          </w:tcPr>
          <w:p w:rsidR="005F6789" w:rsidRPr="005F6789" w:rsidRDefault="005F6789" w:rsidP="00C15159">
            <w:pPr>
              <w:jc w:val="center"/>
              <w:rPr>
                <w:rFonts w:ascii="Times New Roman" w:eastAsia="Times New Roman" w:hAnsi="Times New Roman" w:cs="Times New Roman"/>
                <w:sz w:val="16"/>
                <w:szCs w:val="16"/>
                <w:lang w:eastAsia="tr-TR"/>
              </w:rPr>
            </w:pPr>
            <w:r w:rsidRPr="005F6789">
              <w:rPr>
                <w:rFonts w:ascii="Times New Roman" w:eastAsia="Times New Roman" w:hAnsi="Times New Roman" w:cs="Times New Roman"/>
                <w:sz w:val="16"/>
                <w:szCs w:val="16"/>
                <w:lang w:eastAsia="tr-TR"/>
              </w:rPr>
              <w:t>23,95</w:t>
            </w:r>
          </w:p>
        </w:tc>
        <w:tc>
          <w:tcPr>
            <w:tcW w:w="850" w:type="dxa"/>
            <w:vAlign w:val="center"/>
            <w:hideMark/>
          </w:tcPr>
          <w:p w:rsidR="005F6789" w:rsidRPr="005F6789" w:rsidRDefault="005F6789" w:rsidP="00C15159">
            <w:pPr>
              <w:jc w:val="center"/>
              <w:rPr>
                <w:rFonts w:ascii="Times New Roman" w:eastAsia="Times New Roman" w:hAnsi="Times New Roman" w:cs="Times New Roman"/>
                <w:color w:val="000000"/>
                <w:sz w:val="16"/>
                <w:szCs w:val="16"/>
                <w:lang w:eastAsia="tr-TR"/>
              </w:rPr>
            </w:pPr>
            <w:r w:rsidRPr="005F6789">
              <w:rPr>
                <w:rFonts w:ascii="Times New Roman" w:eastAsia="Times New Roman" w:hAnsi="Times New Roman" w:cs="Times New Roman"/>
                <w:color w:val="000000"/>
                <w:sz w:val="16"/>
                <w:szCs w:val="16"/>
                <w:lang w:eastAsia="tr-TR"/>
              </w:rPr>
              <w:t>31,74</w:t>
            </w:r>
          </w:p>
        </w:tc>
        <w:tc>
          <w:tcPr>
            <w:tcW w:w="1276" w:type="dxa"/>
            <w:shd w:val="clear" w:color="auto" w:fill="FCEEE4"/>
            <w:vAlign w:val="center"/>
            <w:hideMark/>
          </w:tcPr>
          <w:p w:rsidR="005F6789" w:rsidRPr="005F6789" w:rsidRDefault="005F6789" w:rsidP="00C15159">
            <w:pPr>
              <w:jc w:val="center"/>
              <w:rPr>
                <w:rFonts w:ascii="Times New Roman" w:eastAsia="Times New Roman" w:hAnsi="Times New Roman" w:cs="Times New Roman"/>
                <w:b/>
                <w:color w:val="FF0000"/>
                <w:sz w:val="16"/>
                <w:szCs w:val="16"/>
                <w:lang w:eastAsia="tr-TR"/>
              </w:rPr>
            </w:pPr>
            <w:r w:rsidRPr="005F6789">
              <w:rPr>
                <w:rFonts w:ascii="Times New Roman" w:eastAsia="Times New Roman" w:hAnsi="Times New Roman" w:cs="Times New Roman"/>
                <w:b/>
                <w:color w:val="FF0000"/>
                <w:sz w:val="16"/>
                <w:szCs w:val="16"/>
                <w:lang w:eastAsia="tr-TR"/>
              </w:rPr>
              <w:t>44,31</w:t>
            </w:r>
          </w:p>
        </w:tc>
      </w:tr>
      <w:tr w:rsidR="00695A71" w:rsidRPr="005F6789" w:rsidTr="00160373">
        <w:trPr>
          <w:trHeight w:val="375"/>
        </w:trPr>
        <w:tc>
          <w:tcPr>
            <w:tcW w:w="426" w:type="dxa"/>
            <w:hideMark/>
          </w:tcPr>
          <w:p w:rsidR="005F6789" w:rsidRPr="005F6789" w:rsidRDefault="005F6789" w:rsidP="005F6789">
            <w:pPr>
              <w:jc w:val="center"/>
              <w:rPr>
                <w:rFonts w:ascii="Times New Roman" w:eastAsia="Times New Roman" w:hAnsi="Times New Roman" w:cs="Times New Roman"/>
                <w:color w:val="000000"/>
                <w:sz w:val="16"/>
                <w:szCs w:val="16"/>
                <w:lang w:eastAsia="tr-TR"/>
              </w:rPr>
            </w:pPr>
            <w:r w:rsidRPr="005F6789">
              <w:rPr>
                <w:rFonts w:ascii="Times New Roman" w:eastAsia="Times New Roman" w:hAnsi="Times New Roman" w:cs="Times New Roman"/>
                <w:color w:val="000000"/>
                <w:sz w:val="16"/>
                <w:szCs w:val="16"/>
                <w:lang w:eastAsia="tr-TR"/>
              </w:rPr>
              <w:t>6</w:t>
            </w:r>
          </w:p>
        </w:tc>
        <w:tc>
          <w:tcPr>
            <w:tcW w:w="7825" w:type="dxa"/>
            <w:hideMark/>
          </w:tcPr>
          <w:p w:rsidR="005F6789" w:rsidRPr="005F6789" w:rsidRDefault="005F6789" w:rsidP="005F6789">
            <w:pPr>
              <w:jc w:val="both"/>
              <w:rPr>
                <w:rFonts w:ascii="Times New Roman" w:eastAsia="Times New Roman" w:hAnsi="Times New Roman" w:cs="Times New Roman"/>
                <w:color w:val="000000"/>
                <w:sz w:val="16"/>
                <w:szCs w:val="16"/>
                <w:lang w:eastAsia="tr-TR"/>
              </w:rPr>
            </w:pPr>
            <w:r w:rsidRPr="005F6789">
              <w:rPr>
                <w:rFonts w:ascii="Times New Roman" w:eastAsia="Times New Roman" w:hAnsi="Times New Roman" w:cs="Times New Roman"/>
                <w:color w:val="000000"/>
                <w:sz w:val="16"/>
                <w:szCs w:val="16"/>
                <w:lang w:eastAsia="tr-TR"/>
              </w:rPr>
              <w:t>Yönetsel kararlara katılım ve idari uygulamalardaki adillikten</w:t>
            </w:r>
          </w:p>
        </w:tc>
        <w:tc>
          <w:tcPr>
            <w:tcW w:w="993" w:type="dxa"/>
            <w:shd w:val="clear" w:color="auto" w:fill="E7F9FF"/>
            <w:vAlign w:val="center"/>
            <w:hideMark/>
          </w:tcPr>
          <w:p w:rsidR="005F6789" w:rsidRPr="005F6789" w:rsidRDefault="005F6789" w:rsidP="00C15159">
            <w:pPr>
              <w:jc w:val="center"/>
              <w:rPr>
                <w:rFonts w:ascii="Times New Roman" w:eastAsia="Times New Roman" w:hAnsi="Times New Roman" w:cs="Times New Roman"/>
                <w:sz w:val="16"/>
                <w:szCs w:val="16"/>
                <w:lang w:eastAsia="tr-TR"/>
              </w:rPr>
            </w:pPr>
            <w:r w:rsidRPr="005F6789">
              <w:rPr>
                <w:rFonts w:ascii="Times New Roman" w:eastAsia="Times New Roman" w:hAnsi="Times New Roman" w:cs="Times New Roman"/>
                <w:sz w:val="16"/>
                <w:szCs w:val="16"/>
                <w:lang w:eastAsia="tr-TR"/>
              </w:rPr>
              <w:t>35,93</w:t>
            </w:r>
          </w:p>
        </w:tc>
        <w:tc>
          <w:tcPr>
            <w:tcW w:w="850" w:type="dxa"/>
            <w:vAlign w:val="center"/>
            <w:hideMark/>
          </w:tcPr>
          <w:p w:rsidR="005F6789" w:rsidRPr="005F6789" w:rsidRDefault="005F6789" w:rsidP="00C15159">
            <w:pPr>
              <w:jc w:val="center"/>
              <w:rPr>
                <w:rFonts w:ascii="Times New Roman" w:eastAsia="Times New Roman" w:hAnsi="Times New Roman" w:cs="Times New Roman"/>
                <w:color w:val="000000"/>
                <w:sz w:val="16"/>
                <w:szCs w:val="16"/>
                <w:lang w:eastAsia="tr-TR"/>
              </w:rPr>
            </w:pPr>
            <w:r w:rsidRPr="005F6789">
              <w:rPr>
                <w:rFonts w:ascii="Times New Roman" w:eastAsia="Times New Roman" w:hAnsi="Times New Roman" w:cs="Times New Roman"/>
                <w:color w:val="000000"/>
                <w:sz w:val="16"/>
                <w:szCs w:val="16"/>
                <w:lang w:eastAsia="tr-TR"/>
              </w:rPr>
              <w:t>20,36</w:t>
            </w:r>
          </w:p>
        </w:tc>
        <w:tc>
          <w:tcPr>
            <w:tcW w:w="1276" w:type="dxa"/>
            <w:shd w:val="clear" w:color="auto" w:fill="FCEEE4"/>
            <w:vAlign w:val="center"/>
            <w:hideMark/>
          </w:tcPr>
          <w:p w:rsidR="005F6789" w:rsidRPr="005F6789" w:rsidRDefault="005F6789" w:rsidP="00C15159">
            <w:pPr>
              <w:jc w:val="center"/>
              <w:rPr>
                <w:rFonts w:ascii="Times New Roman" w:eastAsia="Times New Roman" w:hAnsi="Times New Roman" w:cs="Times New Roman"/>
                <w:b/>
                <w:color w:val="FF0000"/>
                <w:sz w:val="16"/>
                <w:szCs w:val="16"/>
                <w:lang w:eastAsia="tr-TR"/>
              </w:rPr>
            </w:pPr>
            <w:r w:rsidRPr="005F6789">
              <w:rPr>
                <w:rFonts w:ascii="Times New Roman" w:eastAsia="Times New Roman" w:hAnsi="Times New Roman" w:cs="Times New Roman"/>
                <w:b/>
                <w:color w:val="FF0000"/>
                <w:sz w:val="16"/>
                <w:szCs w:val="16"/>
                <w:lang w:eastAsia="tr-TR"/>
              </w:rPr>
              <w:t>43,71</w:t>
            </w:r>
          </w:p>
        </w:tc>
      </w:tr>
      <w:tr w:rsidR="00695A71" w:rsidRPr="005F6789" w:rsidTr="00160373">
        <w:trPr>
          <w:trHeight w:val="375"/>
        </w:trPr>
        <w:tc>
          <w:tcPr>
            <w:tcW w:w="426" w:type="dxa"/>
            <w:hideMark/>
          </w:tcPr>
          <w:p w:rsidR="005F6789" w:rsidRPr="005F6789" w:rsidRDefault="005F6789" w:rsidP="005F6789">
            <w:pPr>
              <w:jc w:val="center"/>
              <w:rPr>
                <w:rFonts w:ascii="Times New Roman" w:eastAsia="Times New Roman" w:hAnsi="Times New Roman" w:cs="Times New Roman"/>
                <w:color w:val="000000"/>
                <w:sz w:val="16"/>
                <w:szCs w:val="16"/>
                <w:lang w:eastAsia="tr-TR"/>
              </w:rPr>
            </w:pPr>
            <w:r w:rsidRPr="005F6789">
              <w:rPr>
                <w:rFonts w:ascii="Times New Roman" w:eastAsia="Times New Roman" w:hAnsi="Times New Roman" w:cs="Times New Roman"/>
                <w:color w:val="000000"/>
                <w:sz w:val="16"/>
                <w:szCs w:val="16"/>
                <w:lang w:eastAsia="tr-TR"/>
              </w:rPr>
              <w:t>7</w:t>
            </w:r>
          </w:p>
        </w:tc>
        <w:tc>
          <w:tcPr>
            <w:tcW w:w="7825" w:type="dxa"/>
            <w:hideMark/>
          </w:tcPr>
          <w:p w:rsidR="005F6789" w:rsidRPr="005F6789" w:rsidRDefault="00E74C13" w:rsidP="005F6789">
            <w:pPr>
              <w:jc w:val="both"/>
              <w:rPr>
                <w:rFonts w:ascii="Times New Roman" w:eastAsia="Times New Roman" w:hAnsi="Times New Roman" w:cs="Times New Roman"/>
                <w:color w:val="000000"/>
                <w:sz w:val="16"/>
                <w:szCs w:val="16"/>
                <w:lang w:eastAsia="tr-TR"/>
              </w:rPr>
            </w:pPr>
            <w:r w:rsidRPr="005F6789">
              <w:rPr>
                <w:rFonts w:ascii="Times New Roman" w:eastAsia="Times New Roman" w:hAnsi="Times New Roman" w:cs="Times New Roman"/>
                <w:color w:val="000000"/>
                <w:sz w:val="16"/>
                <w:szCs w:val="16"/>
                <w:lang w:eastAsia="tr-TR"/>
              </w:rPr>
              <w:t>Unvan</w:t>
            </w:r>
            <w:r w:rsidR="005F6789" w:rsidRPr="005F6789">
              <w:rPr>
                <w:rFonts w:ascii="Times New Roman" w:eastAsia="Times New Roman" w:hAnsi="Times New Roman" w:cs="Times New Roman"/>
                <w:color w:val="000000"/>
                <w:sz w:val="16"/>
                <w:szCs w:val="16"/>
                <w:lang w:eastAsia="tr-TR"/>
              </w:rPr>
              <w:t xml:space="preserve"> ve kadro uyumundan (uzmanlık alanı ile görev yapılan birim arasındaki uygunluk)</w:t>
            </w:r>
          </w:p>
        </w:tc>
        <w:tc>
          <w:tcPr>
            <w:tcW w:w="993" w:type="dxa"/>
            <w:shd w:val="clear" w:color="auto" w:fill="E7F9FF"/>
            <w:vAlign w:val="center"/>
            <w:hideMark/>
          </w:tcPr>
          <w:p w:rsidR="005F6789" w:rsidRPr="005F6789" w:rsidRDefault="005F6789" w:rsidP="00C15159">
            <w:pPr>
              <w:jc w:val="center"/>
              <w:rPr>
                <w:rFonts w:ascii="Times New Roman" w:eastAsia="Times New Roman" w:hAnsi="Times New Roman" w:cs="Times New Roman"/>
                <w:sz w:val="16"/>
                <w:szCs w:val="16"/>
                <w:lang w:eastAsia="tr-TR"/>
              </w:rPr>
            </w:pPr>
            <w:r w:rsidRPr="005F6789">
              <w:rPr>
                <w:rFonts w:ascii="Times New Roman" w:eastAsia="Times New Roman" w:hAnsi="Times New Roman" w:cs="Times New Roman"/>
                <w:sz w:val="16"/>
                <w:szCs w:val="16"/>
                <w:lang w:eastAsia="tr-TR"/>
              </w:rPr>
              <w:t>37,73</w:t>
            </w:r>
          </w:p>
        </w:tc>
        <w:tc>
          <w:tcPr>
            <w:tcW w:w="850" w:type="dxa"/>
            <w:vAlign w:val="center"/>
            <w:hideMark/>
          </w:tcPr>
          <w:p w:rsidR="005F6789" w:rsidRPr="005F6789" w:rsidRDefault="005F6789" w:rsidP="00C15159">
            <w:pPr>
              <w:jc w:val="center"/>
              <w:rPr>
                <w:rFonts w:ascii="Times New Roman" w:eastAsia="Times New Roman" w:hAnsi="Times New Roman" w:cs="Times New Roman"/>
                <w:color w:val="000000"/>
                <w:sz w:val="16"/>
                <w:szCs w:val="16"/>
                <w:lang w:eastAsia="tr-TR"/>
              </w:rPr>
            </w:pPr>
            <w:r w:rsidRPr="005F6789">
              <w:rPr>
                <w:rFonts w:ascii="Times New Roman" w:eastAsia="Times New Roman" w:hAnsi="Times New Roman" w:cs="Times New Roman"/>
                <w:color w:val="000000"/>
                <w:sz w:val="16"/>
                <w:szCs w:val="16"/>
                <w:lang w:eastAsia="tr-TR"/>
              </w:rPr>
              <w:t>26,35</w:t>
            </w:r>
          </w:p>
        </w:tc>
        <w:tc>
          <w:tcPr>
            <w:tcW w:w="1276" w:type="dxa"/>
            <w:shd w:val="clear" w:color="auto" w:fill="FCEEE4"/>
            <w:vAlign w:val="center"/>
            <w:hideMark/>
          </w:tcPr>
          <w:p w:rsidR="005F6789" w:rsidRPr="005F6789" w:rsidRDefault="005F6789" w:rsidP="00C15159">
            <w:pPr>
              <w:jc w:val="center"/>
              <w:rPr>
                <w:rFonts w:ascii="Times New Roman" w:eastAsia="Times New Roman" w:hAnsi="Times New Roman" w:cs="Times New Roman"/>
                <w:b/>
                <w:color w:val="FF0000"/>
                <w:sz w:val="16"/>
                <w:szCs w:val="16"/>
                <w:lang w:eastAsia="tr-TR"/>
              </w:rPr>
            </w:pPr>
            <w:r w:rsidRPr="005F6789">
              <w:rPr>
                <w:rFonts w:ascii="Times New Roman" w:eastAsia="Times New Roman" w:hAnsi="Times New Roman" w:cs="Times New Roman"/>
                <w:b/>
                <w:color w:val="FF0000"/>
                <w:sz w:val="16"/>
                <w:szCs w:val="16"/>
                <w:lang w:eastAsia="tr-TR"/>
              </w:rPr>
              <w:t>35,92</w:t>
            </w:r>
          </w:p>
        </w:tc>
      </w:tr>
      <w:tr w:rsidR="00695A71" w:rsidRPr="005F6789" w:rsidTr="00160373">
        <w:trPr>
          <w:trHeight w:val="375"/>
        </w:trPr>
        <w:tc>
          <w:tcPr>
            <w:tcW w:w="426" w:type="dxa"/>
            <w:hideMark/>
          </w:tcPr>
          <w:p w:rsidR="005F6789" w:rsidRPr="005F6789" w:rsidRDefault="005F6789" w:rsidP="005F6789">
            <w:pPr>
              <w:jc w:val="center"/>
              <w:rPr>
                <w:rFonts w:ascii="Times New Roman" w:eastAsia="Times New Roman" w:hAnsi="Times New Roman" w:cs="Times New Roman"/>
                <w:color w:val="000000"/>
                <w:sz w:val="16"/>
                <w:szCs w:val="16"/>
                <w:lang w:eastAsia="tr-TR"/>
              </w:rPr>
            </w:pPr>
            <w:r w:rsidRPr="005F6789">
              <w:rPr>
                <w:rFonts w:ascii="Times New Roman" w:eastAsia="Times New Roman" w:hAnsi="Times New Roman" w:cs="Times New Roman"/>
                <w:color w:val="000000"/>
                <w:sz w:val="16"/>
                <w:szCs w:val="16"/>
                <w:lang w:eastAsia="tr-TR"/>
              </w:rPr>
              <w:t>8</w:t>
            </w:r>
          </w:p>
        </w:tc>
        <w:tc>
          <w:tcPr>
            <w:tcW w:w="7825" w:type="dxa"/>
            <w:hideMark/>
          </w:tcPr>
          <w:p w:rsidR="005F6789" w:rsidRPr="005F6789" w:rsidRDefault="005F6789" w:rsidP="005F6789">
            <w:pPr>
              <w:jc w:val="both"/>
              <w:rPr>
                <w:rFonts w:ascii="Times New Roman" w:eastAsia="Times New Roman" w:hAnsi="Times New Roman" w:cs="Times New Roman"/>
                <w:color w:val="000000"/>
                <w:sz w:val="16"/>
                <w:szCs w:val="16"/>
                <w:lang w:eastAsia="tr-TR"/>
              </w:rPr>
            </w:pPr>
            <w:r w:rsidRPr="005F6789">
              <w:rPr>
                <w:rFonts w:ascii="Times New Roman" w:eastAsia="Times New Roman" w:hAnsi="Times New Roman" w:cs="Times New Roman"/>
                <w:color w:val="000000"/>
                <w:sz w:val="16"/>
                <w:szCs w:val="16"/>
                <w:lang w:eastAsia="tr-TR"/>
              </w:rPr>
              <w:t>Üniversitemizin kurumsallaşma düzeyinden</w:t>
            </w:r>
          </w:p>
        </w:tc>
        <w:tc>
          <w:tcPr>
            <w:tcW w:w="993" w:type="dxa"/>
            <w:shd w:val="clear" w:color="auto" w:fill="E7F9FF"/>
            <w:vAlign w:val="center"/>
            <w:hideMark/>
          </w:tcPr>
          <w:p w:rsidR="005F6789" w:rsidRPr="005F6789" w:rsidRDefault="005F6789" w:rsidP="00C15159">
            <w:pPr>
              <w:jc w:val="center"/>
              <w:rPr>
                <w:rFonts w:ascii="Times New Roman" w:eastAsia="Times New Roman" w:hAnsi="Times New Roman" w:cs="Times New Roman"/>
                <w:sz w:val="16"/>
                <w:szCs w:val="16"/>
                <w:lang w:eastAsia="tr-TR"/>
              </w:rPr>
            </w:pPr>
            <w:r w:rsidRPr="005F6789">
              <w:rPr>
                <w:rFonts w:ascii="Times New Roman" w:eastAsia="Times New Roman" w:hAnsi="Times New Roman" w:cs="Times New Roman"/>
                <w:sz w:val="16"/>
                <w:szCs w:val="16"/>
                <w:lang w:eastAsia="tr-TR"/>
              </w:rPr>
              <w:t>47,30</w:t>
            </w:r>
          </w:p>
        </w:tc>
        <w:tc>
          <w:tcPr>
            <w:tcW w:w="850" w:type="dxa"/>
            <w:vAlign w:val="center"/>
            <w:hideMark/>
          </w:tcPr>
          <w:p w:rsidR="005F6789" w:rsidRPr="005F6789" w:rsidRDefault="005F6789" w:rsidP="00C15159">
            <w:pPr>
              <w:jc w:val="center"/>
              <w:rPr>
                <w:rFonts w:ascii="Times New Roman" w:eastAsia="Times New Roman" w:hAnsi="Times New Roman" w:cs="Times New Roman"/>
                <w:color w:val="000000"/>
                <w:sz w:val="16"/>
                <w:szCs w:val="16"/>
                <w:lang w:eastAsia="tr-TR"/>
              </w:rPr>
            </w:pPr>
            <w:r w:rsidRPr="005F6789">
              <w:rPr>
                <w:rFonts w:ascii="Times New Roman" w:eastAsia="Times New Roman" w:hAnsi="Times New Roman" w:cs="Times New Roman"/>
                <w:color w:val="000000"/>
                <w:sz w:val="16"/>
                <w:szCs w:val="16"/>
                <w:lang w:eastAsia="tr-TR"/>
              </w:rPr>
              <w:t>17,37</w:t>
            </w:r>
          </w:p>
        </w:tc>
        <w:tc>
          <w:tcPr>
            <w:tcW w:w="1276" w:type="dxa"/>
            <w:shd w:val="clear" w:color="auto" w:fill="FCEEE4"/>
            <w:vAlign w:val="center"/>
            <w:hideMark/>
          </w:tcPr>
          <w:p w:rsidR="005F6789" w:rsidRPr="005F6789" w:rsidRDefault="005F6789" w:rsidP="00C15159">
            <w:pPr>
              <w:jc w:val="center"/>
              <w:rPr>
                <w:rFonts w:ascii="Times New Roman" w:eastAsia="Times New Roman" w:hAnsi="Times New Roman" w:cs="Times New Roman"/>
                <w:b/>
                <w:color w:val="FF0000"/>
                <w:sz w:val="16"/>
                <w:szCs w:val="16"/>
                <w:lang w:eastAsia="tr-TR"/>
              </w:rPr>
            </w:pPr>
            <w:r w:rsidRPr="005F6789">
              <w:rPr>
                <w:rFonts w:ascii="Times New Roman" w:eastAsia="Times New Roman" w:hAnsi="Times New Roman" w:cs="Times New Roman"/>
                <w:b/>
                <w:color w:val="FF0000"/>
                <w:sz w:val="16"/>
                <w:szCs w:val="16"/>
                <w:lang w:eastAsia="tr-TR"/>
              </w:rPr>
              <w:t>35,33</w:t>
            </w:r>
          </w:p>
        </w:tc>
      </w:tr>
      <w:tr w:rsidR="00695A71" w:rsidRPr="005F6789" w:rsidTr="00160373">
        <w:trPr>
          <w:trHeight w:val="375"/>
        </w:trPr>
        <w:tc>
          <w:tcPr>
            <w:tcW w:w="426" w:type="dxa"/>
            <w:hideMark/>
          </w:tcPr>
          <w:p w:rsidR="005F6789" w:rsidRPr="005F6789" w:rsidRDefault="005F6789" w:rsidP="005F6789">
            <w:pPr>
              <w:jc w:val="center"/>
              <w:rPr>
                <w:rFonts w:ascii="Times New Roman" w:eastAsia="Times New Roman" w:hAnsi="Times New Roman" w:cs="Times New Roman"/>
                <w:color w:val="000000"/>
                <w:sz w:val="16"/>
                <w:szCs w:val="16"/>
                <w:lang w:eastAsia="tr-TR"/>
              </w:rPr>
            </w:pPr>
            <w:r w:rsidRPr="005F6789">
              <w:rPr>
                <w:rFonts w:ascii="Times New Roman" w:eastAsia="Times New Roman" w:hAnsi="Times New Roman" w:cs="Times New Roman"/>
                <w:color w:val="000000"/>
                <w:sz w:val="16"/>
                <w:szCs w:val="16"/>
                <w:lang w:eastAsia="tr-TR"/>
              </w:rPr>
              <w:t>9</w:t>
            </w:r>
          </w:p>
        </w:tc>
        <w:tc>
          <w:tcPr>
            <w:tcW w:w="7825" w:type="dxa"/>
            <w:hideMark/>
          </w:tcPr>
          <w:p w:rsidR="005F6789" w:rsidRPr="005F6789" w:rsidRDefault="005F6789" w:rsidP="005F6789">
            <w:pPr>
              <w:jc w:val="both"/>
              <w:rPr>
                <w:rFonts w:ascii="Times New Roman" w:eastAsia="Times New Roman" w:hAnsi="Times New Roman" w:cs="Times New Roman"/>
                <w:color w:val="000000"/>
                <w:sz w:val="16"/>
                <w:szCs w:val="16"/>
                <w:lang w:eastAsia="tr-TR"/>
              </w:rPr>
            </w:pPr>
            <w:r w:rsidRPr="005F6789">
              <w:rPr>
                <w:rFonts w:ascii="Times New Roman" w:eastAsia="Times New Roman" w:hAnsi="Times New Roman" w:cs="Times New Roman"/>
                <w:color w:val="000000"/>
                <w:sz w:val="16"/>
                <w:szCs w:val="16"/>
                <w:lang w:eastAsia="tr-TR"/>
              </w:rPr>
              <w:t>İdari personeline sunulan hizmet içi eğitim olanaklarından</w:t>
            </w:r>
          </w:p>
        </w:tc>
        <w:tc>
          <w:tcPr>
            <w:tcW w:w="993" w:type="dxa"/>
            <w:shd w:val="clear" w:color="auto" w:fill="E7F9FF"/>
            <w:vAlign w:val="center"/>
            <w:hideMark/>
          </w:tcPr>
          <w:p w:rsidR="005F6789" w:rsidRPr="005F6789" w:rsidRDefault="005F6789" w:rsidP="00C15159">
            <w:pPr>
              <w:jc w:val="center"/>
              <w:rPr>
                <w:rFonts w:ascii="Times New Roman" w:eastAsia="Times New Roman" w:hAnsi="Times New Roman" w:cs="Times New Roman"/>
                <w:sz w:val="16"/>
                <w:szCs w:val="16"/>
                <w:lang w:eastAsia="tr-TR"/>
              </w:rPr>
            </w:pPr>
            <w:r w:rsidRPr="005F6789">
              <w:rPr>
                <w:rFonts w:ascii="Times New Roman" w:eastAsia="Times New Roman" w:hAnsi="Times New Roman" w:cs="Times New Roman"/>
                <w:sz w:val="16"/>
                <w:szCs w:val="16"/>
                <w:lang w:eastAsia="tr-TR"/>
              </w:rPr>
              <w:t>44,31</w:t>
            </w:r>
          </w:p>
        </w:tc>
        <w:tc>
          <w:tcPr>
            <w:tcW w:w="850" w:type="dxa"/>
            <w:vAlign w:val="center"/>
            <w:hideMark/>
          </w:tcPr>
          <w:p w:rsidR="005F6789" w:rsidRPr="005F6789" w:rsidRDefault="005F6789" w:rsidP="00C15159">
            <w:pPr>
              <w:jc w:val="center"/>
              <w:rPr>
                <w:rFonts w:ascii="Times New Roman" w:eastAsia="Times New Roman" w:hAnsi="Times New Roman" w:cs="Times New Roman"/>
                <w:color w:val="000000"/>
                <w:sz w:val="16"/>
                <w:szCs w:val="16"/>
                <w:lang w:eastAsia="tr-TR"/>
              </w:rPr>
            </w:pPr>
            <w:r w:rsidRPr="005F6789">
              <w:rPr>
                <w:rFonts w:ascii="Times New Roman" w:eastAsia="Times New Roman" w:hAnsi="Times New Roman" w:cs="Times New Roman"/>
                <w:color w:val="000000"/>
                <w:sz w:val="16"/>
                <w:szCs w:val="16"/>
                <w:lang w:eastAsia="tr-TR"/>
              </w:rPr>
              <w:t>20,36</w:t>
            </w:r>
          </w:p>
        </w:tc>
        <w:tc>
          <w:tcPr>
            <w:tcW w:w="1276" w:type="dxa"/>
            <w:shd w:val="clear" w:color="auto" w:fill="FCEEE4"/>
            <w:vAlign w:val="center"/>
            <w:hideMark/>
          </w:tcPr>
          <w:p w:rsidR="005F6789" w:rsidRPr="005F6789" w:rsidRDefault="005F6789" w:rsidP="00C15159">
            <w:pPr>
              <w:jc w:val="center"/>
              <w:rPr>
                <w:rFonts w:ascii="Times New Roman" w:eastAsia="Times New Roman" w:hAnsi="Times New Roman" w:cs="Times New Roman"/>
                <w:b/>
                <w:color w:val="FF0000"/>
                <w:sz w:val="16"/>
                <w:szCs w:val="16"/>
                <w:lang w:eastAsia="tr-TR"/>
              </w:rPr>
            </w:pPr>
            <w:r w:rsidRPr="005F6789">
              <w:rPr>
                <w:rFonts w:ascii="Times New Roman" w:eastAsia="Times New Roman" w:hAnsi="Times New Roman" w:cs="Times New Roman"/>
                <w:b/>
                <w:color w:val="FF0000"/>
                <w:sz w:val="16"/>
                <w:szCs w:val="16"/>
                <w:lang w:eastAsia="tr-TR"/>
              </w:rPr>
              <w:t>35,33</w:t>
            </w:r>
          </w:p>
        </w:tc>
      </w:tr>
    </w:tbl>
    <w:p w:rsidR="00692C71" w:rsidRDefault="00692C71" w:rsidP="002404CD">
      <w:pPr>
        <w:jc w:val="both"/>
        <w:rPr>
          <w:rFonts w:ascii="Times New Roman" w:hAnsi="Times New Roman" w:cs="Times New Roman"/>
          <w:sz w:val="16"/>
          <w:szCs w:val="16"/>
        </w:rPr>
      </w:pPr>
    </w:p>
    <w:p w:rsidR="00E478B4" w:rsidRDefault="00E478B4" w:rsidP="002404CD">
      <w:pPr>
        <w:jc w:val="both"/>
        <w:rPr>
          <w:rFonts w:ascii="Times New Roman" w:hAnsi="Times New Roman" w:cs="Times New Roman"/>
          <w:sz w:val="16"/>
          <w:szCs w:val="16"/>
        </w:rPr>
      </w:pPr>
    </w:p>
    <w:p w:rsidR="00504243" w:rsidRDefault="00C067BA" w:rsidP="00C067BA">
      <w:pPr>
        <w:ind w:left="-284"/>
        <w:jc w:val="both"/>
        <w:rPr>
          <w:rFonts w:ascii="Times New Roman" w:hAnsi="Times New Roman" w:cs="Times New Roman"/>
          <w:sz w:val="16"/>
          <w:szCs w:val="16"/>
        </w:rPr>
      </w:pPr>
      <w:r>
        <w:rPr>
          <w:noProof/>
          <w:lang w:eastAsia="tr-TR"/>
        </w:rPr>
        <w:drawing>
          <wp:inline distT="0" distB="0" distL="0" distR="0" wp14:anchorId="710FE78A" wp14:editId="53F8190E">
            <wp:extent cx="7171899" cy="5165090"/>
            <wp:effectExtent l="0" t="0" r="10160" b="1651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04243" w:rsidRDefault="00504243" w:rsidP="002404CD">
      <w:pPr>
        <w:jc w:val="both"/>
        <w:rPr>
          <w:rFonts w:ascii="Times New Roman" w:hAnsi="Times New Roman" w:cs="Times New Roman"/>
          <w:sz w:val="16"/>
          <w:szCs w:val="16"/>
        </w:rPr>
      </w:pPr>
    </w:p>
    <w:tbl>
      <w:tblPr>
        <w:tblStyle w:val="TabloKlavuzu2"/>
        <w:tblW w:w="11370" w:type="dxa"/>
        <w:tblInd w:w="-318" w:type="dxa"/>
        <w:tblLayout w:type="fixed"/>
        <w:tblLook w:val="04A0" w:firstRow="1" w:lastRow="0" w:firstColumn="1" w:lastColumn="0" w:noHBand="0" w:noVBand="1"/>
      </w:tblPr>
      <w:tblGrid>
        <w:gridCol w:w="426"/>
        <w:gridCol w:w="7967"/>
        <w:gridCol w:w="851"/>
        <w:gridCol w:w="850"/>
        <w:gridCol w:w="1276"/>
      </w:tblGrid>
      <w:tr w:rsidR="00BB7819" w:rsidRPr="00F461A8" w:rsidTr="009341D6">
        <w:trPr>
          <w:cantSplit/>
          <w:trHeight w:val="479"/>
        </w:trPr>
        <w:tc>
          <w:tcPr>
            <w:tcW w:w="8393" w:type="dxa"/>
            <w:gridSpan w:val="2"/>
            <w:vMerge w:val="restart"/>
            <w:vAlign w:val="center"/>
          </w:tcPr>
          <w:p w:rsidR="00BB7819" w:rsidRPr="00F461A8" w:rsidRDefault="00BB7819" w:rsidP="009B5608">
            <w:pPr>
              <w:jc w:val="center"/>
              <w:rPr>
                <w:rFonts w:ascii="Times New Roman" w:hAnsi="Times New Roman" w:cs="Times New Roman"/>
                <w:sz w:val="24"/>
                <w:szCs w:val="24"/>
              </w:rPr>
            </w:pPr>
            <w:r w:rsidRPr="00F461A8">
              <w:rPr>
                <w:rFonts w:ascii="Times New Roman" w:hAnsi="Times New Roman" w:cs="Times New Roman"/>
                <w:b/>
                <w:sz w:val="24"/>
                <w:szCs w:val="24"/>
              </w:rPr>
              <w:lastRenderedPageBreak/>
              <w:t xml:space="preserve">Tablo </w:t>
            </w:r>
            <w:r w:rsidR="007C2392">
              <w:rPr>
                <w:rFonts w:ascii="Times New Roman" w:hAnsi="Times New Roman" w:cs="Times New Roman"/>
                <w:b/>
                <w:sz w:val="24"/>
                <w:szCs w:val="24"/>
              </w:rPr>
              <w:t>4</w:t>
            </w:r>
            <w:r w:rsidRPr="00F461A8">
              <w:rPr>
                <w:rFonts w:ascii="Times New Roman" w:hAnsi="Times New Roman" w:cs="Times New Roman"/>
                <w:b/>
                <w:sz w:val="24"/>
                <w:szCs w:val="24"/>
              </w:rPr>
              <w:t xml:space="preserve">: </w:t>
            </w:r>
            <w:r>
              <w:rPr>
                <w:rFonts w:ascii="Times New Roman" w:hAnsi="Times New Roman" w:cs="Times New Roman"/>
                <w:sz w:val="24"/>
                <w:szCs w:val="24"/>
              </w:rPr>
              <w:t>Kararsızlığın</w:t>
            </w:r>
            <w:r w:rsidRPr="00F461A8">
              <w:rPr>
                <w:rFonts w:ascii="Times New Roman" w:hAnsi="Times New Roman" w:cs="Times New Roman"/>
                <w:sz w:val="24"/>
                <w:szCs w:val="24"/>
              </w:rPr>
              <w:t xml:space="preserve"> Yüksek Olduğu Konular </w:t>
            </w:r>
            <w:r w:rsidRPr="00BB7819">
              <w:rPr>
                <w:rFonts w:ascii="Times New Roman" w:hAnsi="Times New Roman" w:cs="Times New Roman"/>
                <w:sz w:val="24"/>
                <w:szCs w:val="24"/>
              </w:rPr>
              <w:t>Yüzde</w:t>
            </w:r>
            <w:r>
              <w:rPr>
                <w:rFonts w:ascii="Times New Roman" w:hAnsi="Times New Roman" w:cs="Times New Roman"/>
                <w:sz w:val="24"/>
                <w:szCs w:val="24"/>
              </w:rPr>
              <w:t xml:space="preserve"> </w:t>
            </w:r>
            <w:r w:rsidRPr="00F461A8">
              <w:rPr>
                <w:rFonts w:ascii="Times New Roman" w:hAnsi="Times New Roman" w:cs="Times New Roman"/>
                <w:sz w:val="24"/>
                <w:szCs w:val="24"/>
              </w:rPr>
              <w:t>(%)</w:t>
            </w:r>
          </w:p>
          <w:p w:rsidR="00BB7819" w:rsidRPr="00F461A8" w:rsidRDefault="00BB7819" w:rsidP="009B5608">
            <w:pPr>
              <w:jc w:val="center"/>
              <w:rPr>
                <w:rFonts w:ascii="Times New Roman" w:hAnsi="Times New Roman" w:cs="Times New Roman"/>
                <w:sz w:val="24"/>
                <w:szCs w:val="24"/>
              </w:rPr>
            </w:pPr>
            <w:r w:rsidRPr="00F461A8">
              <w:rPr>
                <w:rFonts w:ascii="Times New Roman" w:hAnsi="Times New Roman" w:cs="Times New Roman"/>
                <w:sz w:val="24"/>
                <w:szCs w:val="24"/>
              </w:rPr>
              <w:t>(Yüksekten Düşüğe Göre Sıralı)</w:t>
            </w:r>
          </w:p>
          <w:p w:rsidR="00BB7819" w:rsidRPr="00F461A8" w:rsidRDefault="00BB7819" w:rsidP="009B5608">
            <w:pPr>
              <w:jc w:val="center"/>
              <w:rPr>
                <w:rFonts w:ascii="Times New Roman" w:hAnsi="Times New Roman" w:cs="Times New Roman"/>
                <w:sz w:val="20"/>
                <w:szCs w:val="20"/>
              </w:rPr>
            </w:pPr>
          </w:p>
          <w:p w:rsidR="00BB7819" w:rsidRPr="00F461A8" w:rsidRDefault="00BB7819" w:rsidP="009B5608">
            <w:pPr>
              <w:jc w:val="center"/>
              <w:rPr>
                <w:rFonts w:ascii="Times New Roman" w:hAnsi="Times New Roman" w:cs="Times New Roman"/>
                <w:sz w:val="24"/>
                <w:szCs w:val="24"/>
              </w:rPr>
            </w:pPr>
            <w:r w:rsidRPr="00BF1838">
              <w:rPr>
                <w:rFonts w:ascii="Times New Roman" w:hAnsi="Times New Roman" w:cs="Times New Roman"/>
                <w:sz w:val="24"/>
                <w:szCs w:val="24"/>
              </w:rPr>
              <w:t>Ankete katılan idari personel sayısı: 167</w:t>
            </w:r>
          </w:p>
        </w:tc>
        <w:tc>
          <w:tcPr>
            <w:tcW w:w="2977" w:type="dxa"/>
            <w:gridSpan w:val="3"/>
            <w:tcBorders>
              <w:bottom w:val="single" w:sz="4" w:space="0" w:color="auto"/>
            </w:tcBorders>
            <w:vAlign w:val="center"/>
          </w:tcPr>
          <w:p w:rsidR="00BB7819" w:rsidRPr="00F461A8" w:rsidRDefault="00BB7819" w:rsidP="009B5608">
            <w:pPr>
              <w:jc w:val="center"/>
              <w:rPr>
                <w:rFonts w:ascii="Times New Roman" w:hAnsi="Times New Roman" w:cs="Times New Roman"/>
                <w:b/>
                <w:sz w:val="18"/>
                <w:szCs w:val="18"/>
              </w:rPr>
            </w:pPr>
            <w:r w:rsidRPr="00F461A8">
              <w:rPr>
                <w:rFonts w:ascii="Times New Roman" w:hAnsi="Times New Roman" w:cs="Times New Roman"/>
                <w:b/>
                <w:sz w:val="18"/>
                <w:szCs w:val="18"/>
              </w:rPr>
              <w:t xml:space="preserve">MEMNUNİYET DÜZEYİ </w:t>
            </w:r>
          </w:p>
        </w:tc>
      </w:tr>
      <w:tr w:rsidR="00BB7819" w:rsidRPr="00F461A8" w:rsidTr="00977A37">
        <w:trPr>
          <w:cantSplit/>
          <w:trHeight w:val="1584"/>
        </w:trPr>
        <w:tc>
          <w:tcPr>
            <w:tcW w:w="8393" w:type="dxa"/>
            <w:gridSpan w:val="2"/>
            <w:vMerge/>
            <w:tcBorders>
              <w:bottom w:val="single" w:sz="4" w:space="0" w:color="auto"/>
            </w:tcBorders>
          </w:tcPr>
          <w:p w:rsidR="00BB7819" w:rsidRPr="00F461A8" w:rsidRDefault="00BB7819" w:rsidP="009B5608">
            <w:pPr>
              <w:rPr>
                <w:rFonts w:ascii="Times New Roman" w:hAnsi="Times New Roman" w:cs="Times New Roman"/>
                <w:sz w:val="20"/>
                <w:szCs w:val="20"/>
              </w:rPr>
            </w:pPr>
          </w:p>
        </w:tc>
        <w:tc>
          <w:tcPr>
            <w:tcW w:w="851" w:type="dxa"/>
            <w:tcBorders>
              <w:bottom w:val="single" w:sz="4" w:space="0" w:color="auto"/>
            </w:tcBorders>
            <w:shd w:val="clear" w:color="auto" w:fill="FFFFFF" w:themeFill="background1"/>
            <w:textDirection w:val="btLr"/>
            <w:vAlign w:val="center"/>
          </w:tcPr>
          <w:p w:rsidR="00BB7819" w:rsidRPr="00F461A8" w:rsidRDefault="00BB7819" w:rsidP="009B5608">
            <w:pPr>
              <w:ind w:left="113" w:right="113"/>
              <w:jc w:val="center"/>
              <w:rPr>
                <w:rFonts w:ascii="Times New Roman" w:hAnsi="Times New Roman" w:cs="Times New Roman"/>
                <w:sz w:val="18"/>
                <w:szCs w:val="18"/>
              </w:rPr>
            </w:pPr>
            <w:r w:rsidRPr="00F461A8">
              <w:rPr>
                <w:rFonts w:ascii="Times New Roman" w:hAnsi="Times New Roman" w:cs="Times New Roman"/>
                <w:sz w:val="18"/>
                <w:szCs w:val="18"/>
              </w:rPr>
              <w:t>Çok memnunum</w:t>
            </w:r>
          </w:p>
          <w:p w:rsidR="00BB7819" w:rsidRPr="00F461A8" w:rsidRDefault="00BB7819" w:rsidP="009B5608">
            <w:pPr>
              <w:ind w:left="113" w:right="113"/>
              <w:jc w:val="center"/>
              <w:rPr>
                <w:rFonts w:ascii="Times New Roman" w:hAnsi="Times New Roman" w:cs="Times New Roman"/>
                <w:sz w:val="18"/>
                <w:szCs w:val="18"/>
              </w:rPr>
            </w:pPr>
            <w:r w:rsidRPr="00F461A8">
              <w:rPr>
                <w:rFonts w:ascii="Times New Roman" w:hAnsi="Times New Roman" w:cs="Times New Roman"/>
                <w:sz w:val="18"/>
                <w:szCs w:val="18"/>
              </w:rPr>
              <w:t>&amp;</w:t>
            </w:r>
          </w:p>
          <w:p w:rsidR="00BB7819" w:rsidRPr="00F461A8" w:rsidRDefault="00BB7819" w:rsidP="009B5608">
            <w:pPr>
              <w:ind w:left="113" w:right="113"/>
              <w:jc w:val="center"/>
              <w:rPr>
                <w:rFonts w:ascii="Times New Roman" w:hAnsi="Times New Roman" w:cs="Times New Roman"/>
                <w:sz w:val="18"/>
                <w:szCs w:val="18"/>
              </w:rPr>
            </w:pPr>
            <w:r w:rsidRPr="00F461A8">
              <w:rPr>
                <w:rFonts w:ascii="Times New Roman" w:hAnsi="Times New Roman" w:cs="Times New Roman"/>
                <w:sz w:val="18"/>
                <w:szCs w:val="18"/>
              </w:rPr>
              <w:t>Memnunum</w:t>
            </w:r>
          </w:p>
        </w:tc>
        <w:tc>
          <w:tcPr>
            <w:tcW w:w="850" w:type="dxa"/>
            <w:tcBorders>
              <w:bottom w:val="single" w:sz="4" w:space="0" w:color="auto"/>
            </w:tcBorders>
            <w:shd w:val="clear" w:color="auto" w:fill="D9D9D9" w:themeFill="background1" w:themeFillShade="D9"/>
            <w:textDirection w:val="btLr"/>
            <w:vAlign w:val="center"/>
          </w:tcPr>
          <w:p w:rsidR="00BB7819" w:rsidRPr="00F461A8" w:rsidRDefault="00BB7819" w:rsidP="009B5608">
            <w:pPr>
              <w:ind w:left="113" w:right="113"/>
              <w:jc w:val="center"/>
              <w:rPr>
                <w:rFonts w:ascii="Times New Roman" w:hAnsi="Times New Roman" w:cs="Times New Roman"/>
                <w:sz w:val="18"/>
                <w:szCs w:val="18"/>
              </w:rPr>
            </w:pPr>
            <w:r w:rsidRPr="00F461A8">
              <w:rPr>
                <w:rFonts w:ascii="Times New Roman" w:hAnsi="Times New Roman" w:cs="Times New Roman"/>
                <w:sz w:val="18"/>
                <w:szCs w:val="18"/>
              </w:rPr>
              <w:t>Kararsızım</w:t>
            </w:r>
          </w:p>
        </w:tc>
        <w:tc>
          <w:tcPr>
            <w:tcW w:w="1276" w:type="dxa"/>
            <w:tcBorders>
              <w:bottom w:val="single" w:sz="4" w:space="0" w:color="auto"/>
            </w:tcBorders>
            <w:shd w:val="clear" w:color="auto" w:fill="FFFFFF" w:themeFill="background1"/>
            <w:textDirection w:val="btLr"/>
            <w:vAlign w:val="center"/>
          </w:tcPr>
          <w:p w:rsidR="00BB7819" w:rsidRPr="00F461A8" w:rsidRDefault="00BB7819" w:rsidP="009B5608">
            <w:pPr>
              <w:ind w:left="113" w:right="113"/>
              <w:jc w:val="center"/>
              <w:rPr>
                <w:rFonts w:ascii="Times New Roman" w:hAnsi="Times New Roman" w:cs="Times New Roman"/>
                <w:sz w:val="18"/>
                <w:szCs w:val="18"/>
              </w:rPr>
            </w:pPr>
            <w:r w:rsidRPr="00F461A8">
              <w:rPr>
                <w:rFonts w:ascii="Times New Roman" w:hAnsi="Times New Roman" w:cs="Times New Roman"/>
                <w:sz w:val="18"/>
                <w:szCs w:val="18"/>
              </w:rPr>
              <w:t>Memnun değilim</w:t>
            </w:r>
          </w:p>
          <w:p w:rsidR="00BB7819" w:rsidRPr="00F461A8" w:rsidRDefault="00BB7819" w:rsidP="009B5608">
            <w:pPr>
              <w:spacing w:after="60"/>
              <w:ind w:left="113" w:right="113"/>
              <w:jc w:val="center"/>
              <w:rPr>
                <w:rFonts w:ascii="Times New Roman" w:hAnsi="Times New Roman" w:cs="Times New Roman"/>
                <w:sz w:val="18"/>
                <w:szCs w:val="18"/>
              </w:rPr>
            </w:pPr>
            <w:r w:rsidRPr="00F461A8">
              <w:rPr>
                <w:rFonts w:ascii="Times New Roman" w:hAnsi="Times New Roman" w:cs="Times New Roman"/>
                <w:sz w:val="18"/>
                <w:szCs w:val="18"/>
              </w:rPr>
              <w:t>&amp;</w:t>
            </w:r>
          </w:p>
          <w:p w:rsidR="00BB7819" w:rsidRPr="00F461A8" w:rsidRDefault="00BB7819" w:rsidP="009B5608">
            <w:pPr>
              <w:spacing w:after="60"/>
              <w:ind w:left="113" w:right="113"/>
              <w:jc w:val="center"/>
              <w:rPr>
                <w:rFonts w:ascii="Times New Roman" w:hAnsi="Times New Roman" w:cs="Times New Roman"/>
                <w:sz w:val="18"/>
                <w:szCs w:val="18"/>
              </w:rPr>
            </w:pPr>
            <w:r w:rsidRPr="00F461A8">
              <w:rPr>
                <w:rFonts w:ascii="Times New Roman" w:hAnsi="Times New Roman" w:cs="Times New Roman"/>
                <w:sz w:val="18"/>
                <w:szCs w:val="18"/>
              </w:rPr>
              <w:t>Hiç memnun değilim</w:t>
            </w:r>
          </w:p>
        </w:tc>
      </w:tr>
      <w:tr w:rsidR="00BB7819" w:rsidRPr="00F461A8" w:rsidTr="00977A37">
        <w:tc>
          <w:tcPr>
            <w:tcW w:w="426" w:type="dxa"/>
            <w:shd w:val="clear" w:color="auto" w:fill="auto"/>
            <w:vAlign w:val="center"/>
          </w:tcPr>
          <w:p w:rsidR="00BB7819" w:rsidRPr="00F461A8" w:rsidRDefault="00BB7819" w:rsidP="009B5608">
            <w:pPr>
              <w:spacing w:before="40" w:after="40"/>
              <w:jc w:val="center"/>
              <w:rPr>
                <w:rFonts w:ascii="Times New Roman" w:hAnsi="Times New Roman" w:cs="Times New Roman"/>
                <w:sz w:val="18"/>
                <w:szCs w:val="18"/>
              </w:rPr>
            </w:pPr>
          </w:p>
        </w:tc>
        <w:tc>
          <w:tcPr>
            <w:tcW w:w="7967" w:type="dxa"/>
            <w:shd w:val="clear" w:color="auto" w:fill="auto"/>
            <w:vAlign w:val="center"/>
          </w:tcPr>
          <w:p w:rsidR="00BB7819" w:rsidRPr="00F461A8" w:rsidRDefault="00BB7819" w:rsidP="009B5608">
            <w:pPr>
              <w:spacing w:before="40" w:after="40"/>
              <w:jc w:val="center"/>
              <w:rPr>
                <w:rFonts w:ascii="Times New Roman" w:hAnsi="Times New Roman" w:cs="Times New Roman"/>
                <w:sz w:val="18"/>
                <w:szCs w:val="18"/>
              </w:rPr>
            </w:pPr>
          </w:p>
        </w:tc>
        <w:tc>
          <w:tcPr>
            <w:tcW w:w="851" w:type="dxa"/>
            <w:shd w:val="clear" w:color="auto" w:fill="FFFFFF" w:themeFill="background1"/>
            <w:vAlign w:val="center"/>
          </w:tcPr>
          <w:p w:rsidR="00BB7819" w:rsidRPr="00334C5C" w:rsidRDefault="00BB7819" w:rsidP="009B5608">
            <w:pPr>
              <w:jc w:val="center"/>
            </w:pPr>
            <w:r w:rsidRPr="00334C5C">
              <w:t>%</w:t>
            </w:r>
          </w:p>
        </w:tc>
        <w:tc>
          <w:tcPr>
            <w:tcW w:w="850" w:type="dxa"/>
            <w:shd w:val="clear" w:color="auto" w:fill="D9D9D9" w:themeFill="background1" w:themeFillShade="D9"/>
            <w:vAlign w:val="center"/>
          </w:tcPr>
          <w:p w:rsidR="00BB7819" w:rsidRPr="00334C5C" w:rsidRDefault="00BB7819" w:rsidP="009B5608">
            <w:pPr>
              <w:jc w:val="center"/>
            </w:pPr>
            <w:r w:rsidRPr="00334C5C">
              <w:t>%</w:t>
            </w:r>
          </w:p>
        </w:tc>
        <w:tc>
          <w:tcPr>
            <w:tcW w:w="1276" w:type="dxa"/>
            <w:shd w:val="clear" w:color="auto" w:fill="FFFFFF" w:themeFill="background1"/>
            <w:vAlign w:val="center"/>
          </w:tcPr>
          <w:p w:rsidR="00BB7819" w:rsidRPr="00334C5C" w:rsidRDefault="00BB7819" w:rsidP="009B5608">
            <w:pPr>
              <w:jc w:val="center"/>
            </w:pPr>
            <w:r w:rsidRPr="00334C5C">
              <w:t>%</w:t>
            </w:r>
          </w:p>
        </w:tc>
      </w:tr>
      <w:tr w:rsidR="00B17244" w:rsidRPr="009A1C61" w:rsidTr="00977A37">
        <w:trPr>
          <w:trHeight w:val="375"/>
        </w:trPr>
        <w:tc>
          <w:tcPr>
            <w:tcW w:w="426" w:type="dxa"/>
            <w:shd w:val="clear" w:color="auto" w:fill="D9D9D9" w:themeFill="background1" w:themeFillShade="D9"/>
            <w:vAlign w:val="center"/>
            <w:hideMark/>
          </w:tcPr>
          <w:p w:rsidR="009A1C61" w:rsidRPr="00977A37" w:rsidRDefault="009A1C61" w:rsidP="00977A37">
            <w:pPr>
              <w:jc w:val="center"/>
              <w:rPr>
                <w:rFonts w:ascii="Times New Roman" w:eastAsia="Times New Roman" w:hAnsi="Times New Roman" w:cs="Times New Roman"/>
                <w:b/>
                <w:color w:val="000000"/>
                <w:sz w:val="20"/>
                <w:szCs w:val="20"/>
                <w:lang w:eastAsia="tr-TR"/>
              </w:rPr>
            </w:pPr>
            <w:r w:rsidRPr="00977A37">
              <w:rPr>
                <w:rFonts w:ascii="Times New Roman" w:eastAsia="Times New Roman" w:hAnsi="Times New Roman" w:cs="Times New Roman"/>
                <w:b/>
                <w:color w:val="000000"/>
                <w:sz w:val="20"/>
                <w:szCs w:val="20"/>
                <w:lang w:eastAsia="tr-TR"/>
              </w:rPr>
              <w:t>1</w:t>
            </w:r>
          </w:p>
        </w:tc>
        <w:tc>
          <w:tcPr>
            <w:tcW w:w="7967" w:type="dxa"/>
            <w:shd w:val="clear" w:color="auto" w:fill="D9D9D9" w:themeFill="background1" w:themeFillShade="D9"/>
            <w:vAlign w:val="center"/>
            <w:hideMark/>
          </w:tcPr>
          <w:p w:rsidR="009A1C61" w:rsidRPr="00977A37" w:rsidRDefault="009A1C61" w:rsidP="00977A37">
            <w:pPr>
              <w:jc w:val="center"/>
              <w:rPr>
                <w:rFonts w:ascii="Times New Roman" w:eastAsia="Times New Roman" w:hAnsi="Times New Roman" w:cs="Times New Roman"/>
                <w:b/>
                <w:color w:val="000000"/>
                <w:sz w:val="20"/>
                <w:szCs w:val="20"/>
                <w:lang w:eastAsia="tr-TR"/>
              </w:rPr>
            </w:pPr>
            <w:r w:rsidRPr="00977A37">
              <w:rPr>
                <w:rFonts w:ascii="Times New Roman" w:eastAsia="Times New Roman" w:hAnsi="Times New Roman" w:cs="Times New Roman"/>
                <w:b/>
                <w:color w:val="000000"/>
                <w:sz w:val="20"/>
                <w:szCs w:val="20"/>
                <w:lang w:eastAsia="tr-TR"/>
              </w:rPr>
              <w:t>Yurtiçi ve yurtdışı değişim programlarının (</w:t>
            </w:r>
            <w:proofErr w:type="spellStart"/>
            <w:r w:rsidRPr="00977A37">
              <w:rPr>
                <w:rFonts w:ascii="Times New Roman" w:eastAsia="Times New Roman" w:hAnsi="Times New Roman" w:cs="Times New Roman"/>
                <w:b/>
                <w:color w:val="000000"/>
                <w:sz w:val="20"/>
                <w:szCs w:val="20"/>
                <w:lang w:eastAsia="tr-TR"/>
              </w:rPr>
              <w:t>Erasmus</w:t>
            </w:r>
            <w:proofErr w:type="spellEnd"/>
            <w:r w:rsidRPr="00977A37">
              <w:rPr>
                <w:rFonts w:ascii="Times New Roman" w:eastAsia="Times New Roman" w:hAnsi="Times New Roman" w:cs="Times New Roman"/>
                <w:b/>
                <w:color w:val="000000"/>
                <w:sz w:val="20"/>
                <w:szCs w:val="20"/>
                <w:lang w:eastAsia="tr-TR"/>
              </w:rPr>
              <w:t>, Mevlana gibi) yeterliliğinden</w:t>
            </w:r>
          </w:p>
        </w:tc>
        <w:tc>
          <w:tcPr>
            <w:tcW w:w="851" w:type="dxa"/>
            <w:vAlign w:val="center"/>
            <w:hideMark/>
          </w:tcPr>
          <w:p w:rsidR="009A1C61" w:rsidRPr="009A1C61" w:rsidRDefault="009A1C61" w:rsidP="00B17244">
            <w:pPr>
              <w:jc w:val="center"/>
              <w:rPr>
                <w:rFonts w:ascii="Times New Roman" w:eastAsia="Times New Roman" w:hAnsi="Times New Roman" w:cs="Times New Roman"/>
                <w:color w:val="000000"/>
                <w:sz w:val="16"/>
                <w:szCs w:val="16"/>
                <w:lang w:eastAsia="tr-TR"/>
              </w:rPr>
            </w:pPr>
            <w:r w:rsidRPr="009A1C61">
              <w:rPr>
                <w:rFonts w:ascii="Times New Roman" w:eastAsia="Times New Roman" w:hAnsi="Times New Roman" w:cs="Times New Roman"/>
                <w:color w:val="000000"/>
                <w:sz w:val="16"/>
                <w:szCs w:val="16"/>
                <w:lang w:eastAsia="tr-TR"/>
              </w:rPr>
              <w:t>39,52</w:t>
            </w:r>
          </w:p>
        </w:tc>
        <w:tc>
          <w:tcPr>
            <w:tcW w:w="850" w:type="dxa"/>
            <w:shd w:val="clear" w:color="auto" w:fill="DCC5ED"/>
            <w:vAlign w:val="center"/>
            <w:hideMark/>
          </w:tcPr>
          <w:p w:rsidR="009A1C61" w:rsidRPr="009A1C61" w:rsidRDefault="009A1C61" w:rsidP="00B17244">
            <w:pPr>
              <w:jc w:val="center"/>
              <w:rPr>
                <w:rFonts w:ascii="Times New Roman" w:eastAsia="Times New Roman" w:hAnsi="Times New Roman" w:cs="Times New Roman"/>
                <w:b/>
                <w:color w:val="000000"/>
                <w:sz w:val="16"/>
                <w:szCs w:val="16"/>
                <w:lang w:eastAsia="tr-TR"/>
              </w:rPr>
            </w:pPr>
            <w:r w:rsidRPr="009A1C61">
              <w:rPr>
                <w:rFonts w:ascii="Times New Roman" w:eastAsia="Times New Roman" w:hAnsi="Times New Roman" w:cs="Times New Roman"/>
                <w:b/>
                <w:color w:val="000000"/>
                <w:sz w:val="16"/>
                <w:szCs w:val="16"/>
                <w:lang w:eastAsia="tr-TR"/>
              </w:rPr>
              <w:t>52,10</w:t>
            </w:r>
          </w:p>
        </w:tc>
        <w:tc>
          <w:tcPr>
            <w:tcW w:w="1276" w:type="dxa"/>
            <w:vAlign w:val="center"/>
            <w:hideMark/>
          </w:tcPr>
          <w:p w:rsidR="009A1C61" w:rsidRPr="009A1C61" w:rsidRDefault="009A1C61" w:rsidP="00B17244">
            <w:pPr>
              <w:jc w:val="center"/>
              <w:rPr>
                <w:rFonts w:ascii="Times New Roman" w:eastAsia="Times New Roman" w:hAnsi="Times New Roman" w:cs="Times New Roman"/>
                <w:color w:val="000000"/>
                <w:sz w:val="16"/>
                <w:szCs w:val="16"/>
                <w:lang w:eastAsia="tr-TR"/>
              </w:rPr>
            </w:pPr>
            <w:r w:rsidRPr="009A1C61">
              <w:rPr>
                <w:rFonts w:ascii="Times New Roman" w:eastAsia="Times New Roman" w:hAnsi="Times New Roman" w:cs="Times New Roman"/>
                <w:color w:val="000000"/>
                <w:sz w:val="16"/>
                <w:szCs w:val="16"/>
                <w:lang w:eastAsia="tr-TR"/>
              </w:rPr>
              <w:t>8,38</w:t>
            </w:r>
          </w:p>
        </w:tc>
      </w:tr>
      <w:tr w:rsidR="00B17244" w:rsidRPr="009A1C61" w:rsidTr="00977A37">
        <w:trPr>
          <w:trHeight w:val="375"/>
        </w:trPr>
        <w:tc>
          <w:tcPr>
            <w:tcW w:w="426" w:type="dxa"/>
            <w:vAlign w:val="center"/>
            <w:hideMark/>
          </w:tcPr>
          <w:p w:rsidR="009A1C61" w:rsidRPr="009A1C61" w:rsidRDefault="009A1C61" w:rsidP="00977A37">
            <w:pPr>
              <w:jc w:val="center"/>
              <w:rPr>
                <w:rFonts w:ascii="Times New Roman" w:eastAsia="Times New Roman" w:hAnsi="Times New Roman" w:cs="Times New Roman"/>
                <w:color w:val="000000"/>
                <w:sz w:val="16"/>
                <w:szCs w:val="16"/>
                <w:lang w:eastAsia="tr-TR"/>
              </w:rPr>
            </w:pPr>
            <w:r w:rsidRPr="009A1C61">
              <w:rPr>
                <w:rFonts w:ascii="Times New Roman" w:eastAsia="Times New Roman" w:hAnsi="Times New Roman" w:cs="Times New Roman"/>
                <w:color w:val="000000"/>
                <w:sz w:val="16"/>
                <w:szCs w:val="16"/>
                <w:lang w:eastAsia="tr-TR"/>
              </w:rPr>
              <w:t>2</w:t>
            </w:r>
          </w:p>
        </w:tc>
        <w:tc>
          <w:tcPr>
            <w:tcW w:w="7967" w:type="dxa"/>
            <w:vAlign w:val="center"/>
            <w:hideMark/>
          </w:tcPr>
          <w:p w:rsidR="009A1C61" w:rsidRPr="009A1C61" w:rsidRDefault="009A1C61" w:rsidP="00977A37">
            <w:pPr>
              <w:jc w:val="center"/>
              <w:rPr>
                <w:rFonts w:ascii="Times New Roman" w:eastAsia="Times New Roman" w:hAnsi="Times New Roman" w:cs="Times New Roman"/>
                <w:color w:val="000000"/>
                <w:sz w:val="16"/>
                <w:szCs w:val="16"/>
                <w:lang w:eastAsia="tr-TR"/>
              </w:rPr>
            </w:pPr>
            <w:r w:rsidRPr="009A1C61">
              <w:rPr>
                <w:rFonts w:ascii="Times New Roman" w:eastAsia="Times New Roman" w:hAnsi="Times New Roman" w:cs="Times New Roman"/>
                <w:color w:val="000000"/>
                <w:sz w:val="16"/>
                <w:szCs w:val="16"/>
                <w:lang w:eastAsia="tr-TR"/>
              </w:rPr>
              <w:t>Diğer üniversiteler ile olan ilişkilerden</w:t>
            </w:r>
          </w:p>
        </w:tc>
        <w:tc>
          <w:tcPr>
            <w:tcW w:w="851" w:type="dxa"/>
            <w:vAlign w:val="center"/>
            <w:hideMark/>
          </w:tcPr>
          <w:p w:rsidR="009A1C61" w:rsidRPr="009A1C61" w:rsidRDefault="009A1C61" w:rsidP="00B17244">
            <w:pPr>
              <w:jc w:val="center"/>
              <w:rPr>
                <w:rFonts w:ascii="Times New Roman" w:eastAsia="Times New Roman" w:hAnsi="Times New Roman" w:cs="Times New Roman"/>
                <w:color w:val="000000"/>
                <w:sz w:val="16"/>
                <w:szCs w:val="16"/>
                <w:lang w:eastAsia="tr-TR"/>
              </w:rPr>
            </w:pPr>
            <w:r w:rsidRPr="009A1C61">
              <w:rPr>
                <w:rFonts w:ascii="Times New Roman" w:eastAsia="Times New Roman" w:hAnsi="Times New Roman" w:cs="Times New Roman"/>
                <w:color w:val="000000"/>
                <w:sz w:val="16"/>
                <w:szCs w:val="16"/>
                <w:lang w:eastAsia="tr-TR"/>
              </w:rPr>
              <w:t>43,12</w:t>
            </w:r>
          </w:p>
        </w:tc>
        <w:tc>
          <w:tcPr>
            <w:tcW w:w="850" w:type="dxa"/>
            <w:shd w:val="clear" w:color="auto" w:fill="D9D9D9" w:themeFill="background1" w:themeFillShade="D9"/>
            <w:vAlign w:val="center"/>
            <w:hideMark/>
          </w:tcPr>
          <w:p w:rsidR="009A1C61" w:rsidRPr="009A1C61" w:rsidRDefault="009A1C61" w:rsidP="00B17244">
            <w:pPr>
              <w:jc w:val="center"/>
              <w:rPr>
                <w:rFonts w:ascii="Times New Roman" w:eastAsia="Times New Roman" w:hAnsi="Times New Roman" w:cs="Times New Roman"/>
                <w:b/>
                <w:color w:val="000000"/>
                <w:sz w:val="16"/>
                <w:szCs w:val="16"/>
                <w:lang w:eastAsia="tr-TR"/>
              </w:rPr>
            </w:pPr>
            <w:r w:rsidRPr="009A1C61">
              <w:rPr>
                <w:rFonts w:ascii="Times New Roman" w:eastAsia="Times New Roman" w:hAnsi="Times New Roman" w:cs="Times New Roman"/>
                <w:b/>
                <w:color w:val="000000"/>
                <w:sz w:val="16"/>
                <w:szCs w:val="16"/>
                <w:lang w:eastAsia="tr-TR"/>
              </w:rPr>
              <w:t>48,50</w:t>
            </w:r>
          </w:p>
        </w:tc>
        <w:tc>
          <w:tcPr>
            <w:tcW w:w="1276" w:type="dxa"/>
            <w:vAlign w:val="center"/>
            <w:hideMark/>
          </w:tcPr>
          <w:p w:rsidR="009A1C61" w:rsidRPr="009A1C61" w:rsidRDefault="009A1C61" w:rsidP="00B17244">
            <w:pPr>
              <w:jc w:val="center"/>
              <w:rPr>
                <w:rFonts w:ascii="Times New Roman" w:eastAsia="Times New Roman" w:hAnsi="Times New Roman" w:cs="Times New Roman"/>
                <w:color w:val="000000"/>
                <w:sz w:val="16"/>
                <w:szCs w:val="16"/>
                <w:lang w:eastAsia="tr-TR"/>
              </w:rPr>
            </w:pPr>
            <w:r w:rsidRPr="009A1C61">
              <w:rPr>
                <w:rFonts w:ascii="Times New Roman" w:eastAsia="Times New Roman" w:hAnsi="Times New Roman" w:cs="Times New Roman"/>
                <w:color w:val="000000"/>
                <w:sz w:val="16"/>
                <w:szCs w:val="16"/>
                <w:lang w:eastAsia="tr-TR"/>
              </w:rPr>
              <w:t>8,38</w:t>
            </w:r>
          </w:p>
        </w:tc>
      </w:tr>
      <w:tr w:rsidR="00B17244" w:rsidRPr="009A1C61" w:rsidTr="00977A37">
        <w:trPr>
          <w:trHeight w:val="375"/>
        </w:trPr>
        <w:tc>
          <w:tcPr>
            <w:tcW w:w="426" w:type="dxa"/>
            <w:vAlign w:val="center"/>
            <w:hideMark/>
          </w:tcPr>
          <w:p w:rsidR="009A1C61" w:rsidRPr="009A1C61" w:rsidRDefault="009A1C61" w:rsidP="00977A37">
            <w:pPr>
              <w:jc w:val="center"/>
              <w:rPr>
                <w:rFonts w:ascii="Times New Roman" w:eastAsia="Times New Roman" w:hAnsi="Times New Roman" w:cs="Times New Roman"/>
                <w:color w:val="000000"/>
                <w:sz w:val="16"/>
                <w:szCs w:val="16"/>
                <w:lang w:eastAsia="tr-TR"/>
              </w:rPr>
            </w:pPr>
            <w:r w:rsidRPr="009A1C61">
              <w:rPr>
                <w:rFonts w:ascii="Times New Roman" w:eastAsia="Times New Roman" w:hAnsi="Times New Roman" w:cs="Times New Roman"/>
                <w:color w:val="000000"/>
                <w:sz w:val="16"/>
                <w:szCs w:val="16"/>
                <w:lang w:eastAsia="tr-TR"/>
              </w:rPr>
              <w:t>3</w:t>
            </w:r>
          </w:p>
        </w:tc>
        <w:tc>
          <w:tcPr>
            <w:tcW w:w="7967" w:type="dxa"/>
            <w:vAlign w:val="center"/>
            <w:hideMark/>
          </w:tcPr>
          <w:p w:rsidR="009A1C61" w:rsidRPr="009A1C61" w:rsidRDefault="009A1C61" w:rsidP="00977A37">
            <w:pPr>
              <w:jc w:val="center"/>
              <w:rPr>
                <w:rFonts w:ascii="Times New Roman" w:eastAsia="Times New Roman" w:hAnsi="Times New Roman" w:cs="Times New Roman"/>
                <w:color w:val="000000"/>
                <w:sz w:val="16"/>
                <w:szCs w:val="16"/>
                <w:lang w:eastAsia="tr-TR"/>
              </w:rPr>
            </w:pPr>
            <w:r w:rsidRPr="009A1C61">
              <w:rPr>
                <w:rFonts w:ascii="Times New Roman" w:eastAsia="Times New Roman" w:hAnsi="Times New Roman" w:cs="Times New Roman"/>
                <w:color w:val="000000"/>
                <w:sz w:val="16"/>
                <w:szCs w:val="16"/>
                <w:lang w:eastAsia="tr-TR"/>
              </w:rPr>
              <w:t>Kültür ve sanat etkinlikleri ile bu amaçla kurulmuş tesislerden</w:t>
            </w:r>
          </w:p>
        </w:tc>
        <w:tc>
          <w:tcPr>
            <w:tcW w:w="851" w:type="dxa"/>
            <w:vAlign w:val="center"/>
            <w:hideMark/>
          </w:tcPr>
          <w:p w:rsidR="009A1C61" w:rsidRPr="009A1C61" w:rsidRDefault="009A1C61" w:rsidP="00B17244">
            <w:pPr>
              <w:jc w:val="center"/>
              <w:rPr>
                <w:rFonts w:ascii="Times New Roman" w:eastAsia="Times New Roman" w:hAnsi="Times New Roman" w:cs="Times New Roman"/>
                <w:color w:val="000000"/>
                <w:sz w:val="16"/>
                <w:szCs w:val="16"/>
                <w:lang w:eastAsia="tr-TR"/>
              </w:rPr>
            </w:pPr>
            <w:r w:rsidRPr="009A1C61">
              <w:rPr>
                <w:rFonts w:ascii="Times New Roman" w:eastAsia="Times New Roman" w:hAnsi="Times New Roman" w:cs="Times New Roman"/>
                <w:color w:val="000000"/>
                <w:sz w:val="16"/>
                <w:szCs w:val="16"/>
                <w:lang w:eastAsia="tr-TR"/>
              </w:rPr>
              <w:t>46,11</w:t>
            </w:r>
          </w:p>
        </w:tc>
        <w:tc>
          <w:tcPr>
            <w:tcW w:w="850" w:type="dxa"/>
            <w:shd w:val="clear" w:color="auto" w:fill="D9D9D9" w:themeFill="background1" w:themeFillShade="D9"/>
            <w:vAlign w:val="center"/>
            <w:hideMark/>
          </w:tcPr>
          <w:p w:rsidR="009A1C61" w:rsidRPr="009A1C61" w:rsidRDefault="009A1C61" w:rsidP="00B17244">
            <w:pPr>
              <w:jc w:val="center"/>
              <w:rPr>
                <w:rFonts w:ascii="Times New Roman" w:eastAsia="Times New Roman" w:hAnsi="Times New Roman" w:cs="Times New Roman"/>
                <w:color w:val="000000"/>
                <w:sz w:val="16"/>
                <w:szCs w:val="16"/>
                <w:lang w:eastAsia="tr-TR"/>
              </w:rPr>
            </w:pPr>
            <w:r w:rsidRPr="009A1C61">
              <w:rPr>
                <w:rFonts w:ascii="Times New Roman" w:eastAsia="Times New Roman" w:hAnsi="Times New Roman" w:cs="Times New Roman"/>
                <w:color w:val="000000"/>
                <w:sz w:val="16"/>
                <w:szCs w:val="16"/>
                <w:lang w:eastAsia="tr-TR"/>
              </w:rPr>
              <w:t>37,13</w:t>
            </w:r>
          </w:p>
        </w:tc>
        <w:tc>
          <w:tcPr>
            <w:tcW w:w="1276" w:type="dxa"/>
            <w:vAlign w:val="center"/>
            <w:hideMark/>
          </w:tcPr>
          <w:p w:rsidR="009A1C61" w:rsidRPr="009A1C61" w:rsidRDefault="009A1C61" w:rsidP="00B17244">
            <w:pPr>
              <w:jc w:val="center"/>
              <w:rPr>
                <w:rFonts w:ascii="Times New Roman" w:eastAsia="Times New Roman" w:hAnsi="Times New Roman" w:cs="Times New Roman"/>
                <w:color w:val="000000"/>
                <w:sz w:val="16"/>
                <w:szCs w:val="16"/>
                <w:lang w:eastAsia="tr-TR"/>
              </w:rPr>
            </w:pPr>
            <w:r w:rsidRPr="009A1C61">
              <w:rPr>
                <w:rFonts w:ascii="Times New Roman" w:eastAsia="Times New Roman" w:hAnsi="Times New Roman" w:cs="Times New Roman"/>
                <w:color w:val="000000"/>
                <w:sz w:val="16"/>
                <w:szCs w:val="16"/>
                <w:lang w:eastAsia="tr-TR"/>
              </w:rPr>
              <w:t>16,76</w:t>
            </w:r>
          </w:p>
        </w:tc>
      </w:tr>
      <w:tr w:rsidR="00B17244" w:rsidRPr="009A1C61" w:rsidTr="00977A37">
        <w:trPr>
          <w:trHeight w:val="375"/>
        </w:trPr>
        <w:tc>
          <w:tcPr>
            <w:tcW w:w="426" w:type="dxa"/>
            <w:vAlign w:val="center"/>
            <w:hideMark/>
          </w:tcPr>
          <w:p w:rsidR="009A1C61" w:rsidRPr="009A1C61" w:rsidRDefault="009A1C61" w:rsidP="00977A37">
            <w:pPr>
              <w:jc w:val="center"/>
              <w:rPr>
                <w:rFonts w:ascii="Times New Roman" w:eastAsia="Times New Roman" w:hAnsi="Times New Roman" w:cs="Times New Roman"/>
                <w:color w:val="000000"/>
                <w:sz w:val="16"/>
                <w:szCs w:val="16"/>
                <w:lang w:eastAsia="tr-TR"/>
              </w:rPr>
            </w:pPr>
            <w:r w:rsidRPr="009A1C61">
              <w:rPr>
                <w:rFonts w:ascii="Times New Roman" w:eastAsia="Times New Roman" w:hAnsi="Times New Roman" w:cs="Times New Roman"/>
                <w:color w:val="000000"/>
                <w:sz w:val="16"/>
                <w:szCs w:val="16"/>
                <w:lang w:eastAsia="tr-TR"/>
              </w:rPr>
              <w:t>4</w:t>
            </w:r>
          </w:p>
        </w:tc>
        <w:tc>
          <w:tcPr>
            <w:tcW w:w="7967" w:type="dxa"/>
            <w:vAlign w:val="center"/>
            <w:hideMark/>
          </w:tcPr>
          <w:p w:rsidR="009A1C61" w:rsidRPr="009A1C61" w:rsidRDefault="009A1C61" w:rsidP="00715CE4">
            <w:pPr>
              <w:ind w:left="-82"/>
              <w:jc w:val="center"/>
              <w:rPr>
                <w:rFonts w:ascii="Times New Roman" w:eastAsia="Times New Roman" w:hAnsi="Times New Roman" w:cs="Times New Roman"/>
                <w:color w:val="000000"/>
                <w:sz w:val="16"/>
                <w:szCs w:val="16"/>
                <w:lang w:eastAsia="tr-TR"/>
              </w:rPr>
            </w:pPr>
            <w:r w:rsidRPr="009A1C61">
              <w:rPr>
                <w:rFonts w:ascii="Times New Roman" w:eastAsia="Times New Roman" w:hAnsi="Times New Roman" w:cs="Times New Roman"/>
                <w:color w:val="000000"/>
                <w:sz w:val="16"/>
                <w:szCs w:val="16"/>
                <w:lang w:eastAsia="tr-TR"/>
              </w:rPr>
              <w:t>Üniversitede yürütülen Kalite Güvencesi ve Kalite Geliştirme çabalarından</w:t>
            </w:r>
          </w:p>
        </w:tc>
        <w:tc>
          <w:tcPr>
            <w:tcW w:w="851" w:type="dxa"/>
            <w:vAlign w:val="center"/>
            <w:hideMark/>
          </w:tcPr>
          <w:p w:rsidR="009A1C61" w:rsidRPr="009A1C61" w:rsidRDefault="009A1C61" w:rsidP="00B17244">
            <w:pPr>
              <w:jc w:val="center"/>
              <w:rPr>
                <w:rFonts w:ascii="Times New Roman" w:eastAsia="Times New Roman" w:hAnsi="Times New Roman" w:cs="Times New Roman"/>
                <w:color w:val="000000"/>
                <w:sz w:val="16"/>
                <w:szCs w:val="16"/>
                <w:lang w:eastAsia="tr-TR"/>
              </w:rPr>
            </w:pPr>
            <w:r w:rsidRPr="009A1C61">
              <w:rPr>
                <w:rFonts w:ascii="Times New Roman" w:eastAsia="Times New Roman" w:hAnsi="Times New Roman" w:cs="Times New Roman"/>
                <w:color w:val="000000"/>
                <w:sz w:val="16"/>
                <w:szCs w:val="16"/>
                <w:lang w:eastAsia="tr-TR"/>
              </w:rPr>
              <w:t>47,31</w:t>
            </w:r>
          </w:p>
        </w:tc>
        <w:tc>
          <w:tcPr>
            <w:tcW w:w="850" w:type="dxa"/>
            <w:shd w:val="clear" w:color="auto" w:fill="D9D9D9" w:themeFill="background1" w:themeFillShade="D9"/>
            <w:vAlign w:val="center"/>
            <w:hideMark/>
          </w:tcPr>
          <w:p w:rsidR="009A1C61" w:rsidRPr="009A1C61" w:rsidRDefault="009A1C61" w:rsidP="00B17244">
            <w:pPr>
              <w:jc w:val="center"/>
              <w:rPr>
                <w:rFonts w:ascii="Times New Roman" w:eastAsia="Times New Roman" w:hAnsi="Times New Roman" w:cs="Times New Roman"/>
                <w:color w:val="000000"/>
                <w:sz w:val="16"/>
                <w:szCs w:val="16"/>
                <w:lang w:eastAsia="tr-TR"/>
              </w:rPr>
            </w:pPr>
            <w:r w:rsidRPr="009A1C61">
              <w:rPr>
                <w:rFonts w:ascii="Times New Roman" w:eastAsia="Times New Roman" w:hAnsi="Times New Roman" w:cs="Times New Roman"/>
                <w:color w:val="000000"/>
                <w:sz w:val="16"/>
                <w:szCs w:val="16"/>
                <w:lang w:eastAsia="tr-TR"/>
              </w:rPr>
              <w:t>34,73</w:t>
            </w:r>
          </w:p>
        </w:tc>
        <w:tc>
          <w:tcPr>
            <w:tcW w:w="1276" w:type="dxa"/>
            <w:vAlign w:val="center"/>
            <w:hideMark/>
          </w:tcPr>
          <w:p w:rsidR="009A1C61" w:rsidRPr="009A1C61" w:rsidRDefault="009A1C61" w:rsidP="00B17244">
            <w:pPr>
              <w:jc w:val="center"/>
              <w:rPr>
                <w:rFonts w:ascii="Times New Roman" w:eastAsia="Times New Roman" w:hAnsi="Times New Roman" w:cs="Times New Roman"/>
                <w:color w:val="000000"/>
                <w:sz w:val="16"/>
                <w:szCs w:val="16"/>
                <w:lang w:eastAsia="tr-TR"/>
              </w:rPr>
            </w:pPr>
            <w:r w:rsidRPr="009A1C61">
              <w:rPr>
                <w:rFonts w:ascii="Times New Roman" w:eastAsia="Times New Roman" w:hAnsi="Times New Roman" w:cs="Times New Roman"/>
                <w:color w:val="000000"/>
                <w:sz w:val="16"/>
                <w:szCs w:val="16"/>
                <w:lang w:eastAsia="tr-TR"/>
              </w:rPr>
              <w:t>17,96</w:t>
            </w:r>
          </w:p>
        </w:tc>
      </w:tr>
      <w:tr w:rsidR="00B17244" w:rsidRPr="009A1C61" w:rsidTr="00977A37">
        <w:trPr>
          <w:trHeight w:val="375"/>
        </w:trPr>
        <w:tc>
          <w:tcPr>
            <w:tcW w:w="426" w:type="dxa"/>
            <w:vAlign w:val="center"/>
            <w:hideMark/>
          </w:tcPr>
          <w:p w:rsidR="009A1C61" w:rsidRPr="009A1C61" w:rsidRDefault="009A1C61" w:rsidP="00977A37">
            <w:pPr>
              <w:jc w:val="center"/>
              <w:rPr>
                <w:rFonts w:ascii="Times New Roman" w:eastAsia="Times New Roman" w:hAnsi="Times New Roman" w:cs="Times New Roman"/>
                <w:color w:val="000000"/>
                <w:sz w:val="16"/>
                <w:szCs w:val="16"/>
                <w:lang w:eastAsia="tr-TR"/>
              </w:rPr>
            </w:pPr>
            <w:r w:rsidRPr="009A1C61">
              <w:rPr>
                <w:rFonts w:ascii="Times New Roman" w:eastAsia="Times New Roman" w:hAnsi="Times New Roman" w:cs="Times New Roman"/>
                <w:color w:val="000000"/>
                <w:sz w:val="16"/>
                <w:szCs w:val="16"/>
                <w:lang w:eastAsia="tr-TR"/>
              </w:rPr>
              <w:t>5</w:t>
            </w:r>
          </w:p>
        </w:tc>
        <w:tc>
          <w:tcPr>
            <w:tcW w:w="7967" w:type="dxa"/>
            <w:vAlign w:val="center"/>
            <w:hideMark/>
          </w:tcPr>
          <w:p w:rsidR="009A1C61" w:rsidRPr="009A1C61" w:rsidRDefault="009A1C61" w:rsidP="00977A37">
            <w:pPr>
              <w:jc w:val="center"/>
              <w:rPr>
                <w:rFonts w:ascii="Times New Roman" w:eastAsia="Times New Roman" w:hAnsi="Times New Roman" w:cs="Times New Roman"/>
                <w:color w:val="000000"/>
                <w:sz w:val="16"/>
                <w:szCs w:val="16"/>
                <w:lang w:eastAsia="tr-TR"/>
              </w:rPr>
            </w:pPr>
            <w:r w:rsidRPr="009A1C61">
              <w:rPr>
                <w:rFonts w:ascii="Times New Roman" w:eastAsia="Times New Roman" w:hAnsi="Times New Roman" w:cs="Times New Roman"/>
                <w:color w:val="000000"/>
                <w:sz w:val="16"/>
                <w:szCs w:val="16"/>
                <w:lang w:eastAsia="tr-TR"/>
              </w:rPr>
              <w:t>Dış paydaşlarla (kamu kurumları, özel sektör, sivil toplum kuruluşları, halk …) olan ilişkilerden</w:t>
            </w:r>
          </w:p>
        </w:tc>
        <w:tc>
          <w:tcPr>
            <w:tcW w:w="851" w:type="dxa"/>
            <w:vAlign w:val="center"/>
            <w:hideMark/>
          </w:tcPr>
          <w:p w:rsidR="009A1C61" w:rsidRPr="009A1C61" w:rsidRDefault="009A1C61" w:rsidP="00B17244">
            <w:pPr>
              <w:jc w:val="center"/>
              <w:rPr>
                <w:rFonts w:ascii="Times New Roman" w:eastAsia="Times New Roman" w:hAnsi="Times New Roman" w:cs="Times New Roman"/>
                <w:color w:val="000000"/>
                <w:sz w:val="16"/>
                <w:szCs w:val="16"/>
                <w:lang w:eastAsia="tr-TR"/>
              </w:rPr>
            </w:pPr>
            <w:r w:rsidRPr="009A1C61">
              <w:rPr>
                <w:rFonts w:ascii="Times New Roman" w:eastAsia="Times New Roman" w:hAnsi="Times New Roman" w:cs="Times New Roman"/>
                <w:color w:val="000000"/>
                <w:sz w:val="16"/>
                <w:szCs w:val="16"/>
                <w:lang w:eastAsia="tr-TR"/>
              </w:rPr>
              <w:t>49,10</w:t>
            </w:r>
          </w:p>
        </w:tc>
        <w:tc>
          <w:tcPr>
            <w:tcW w:w="850" w:type="dxa"/>
            <w:shd w:val="clear" w:color="auto" w:fill="D9D9D9" w:themeFill="background1" w:themeFillShade="D9"/>
            <w:vAlign w:val="center"/>
            <w:hideMark/>
          </w:tcPr>
          <w:p w:rsidR="009A1C61" w:rsidRPr="009A1C61" w:rsidRDefault="009A1C61" w:rsidP="00B17244">
            <w:pPr>
              <w:jc w:val="center"/>
              <w:rPr>
                <w:rFonts w:ascii="Times New Roman" w:eastAsia="Times New Roman" w:hAnsi="Times New Roman" w:cs="Times New Roman"/>
                <w:color w:val="000000"/>
                <w:sz w:val="16"/>
                <w:szCs w:val="16"/>
                <w:lang w:eastAsia="tr-TR"/>
              </w:rPr>
            </w:pPr>
            <w:r w:rsidRPr="009A1C61">
              <w:rPr>
                <w:rFonts w:ascii="Times New Roman" w:eastAsia="Times New Roman" w:hAnsi="Times New Roman" w:cs="Times New Roman"/>
                <w:color w:val="000000"/>
                <w:sz w:val="16"/>
                <w:szCs w:val="16"/>
                <w:lang w:eastAsia="tr-TR"/>
              </w:rPr>
              <w:t>33,53</w:t>
            </w:r>
          </w:p>
        </w:tc>
        <w:tc>
          <w:tcPr>
            <w:tcW w:w="1276" w:type="dxa"/>
            <w:vAlign w:val="center"/>
            <w:hideMark/>
          </w:tcPr>
          <w:p w:rsidR="009A1C61" w:rsidRPr="009A1C61" w:rsidRDefault="009A1C61" w:rsidP="00B17244">
            <w:pPr>
              <w:jc w:val="center"/>
              <w:rPr>
                <w:rFonts w:ascii="Times New Roman" w:eastAsia="Times New Roman" w:hAnsi="Times New Roman" w:cs="Times New Roman"/>
                <w:color w:val="000000"/>
                <w:sz w:val="16"/>
                <w:szCs w:val="16"/>
                <w:lang w:eastAsia="tr-TR"/>
              </w:rPr>
            </w:pPr>
            <w:r w:rsidRPr="009A1C61">
              <w:rPr>
                <w:rFonts w:ascii="Times New Roman" w:eastAsia="Times New Roman" w:hAnsi="Times New Roman" w:cs="Times New Roman"/>
                <w:color w:val="000000"/>
                <w:sz w:val="16"/>
                <w:szCs w:val="16"/>
                <w:lang w:eastAsia="tr-TR"/>
              </w:rPr>
              <w:t>17,37</w:t>
            </w:r>
          </w:p>
        </w:tc>
      </w:tr>
      <w:tr w:rsidR="00B17244" w:rsidRPr="009A1C61" w:rsidTr="00977A37">
        <w:trPr>
          <w:trHeight w:val="375"/>
        </w:trPr>
        <w:tc>
          <w:tcPr>
            <w:tcW w:w="426" w:type="dxa"/>
            <w:vAlign w:val="center"/>
            <w:hideMark/>
          </w:tcPr>
          <w:p w:rsidR="009A1C61" w:rsidRPr="009A1C61" w:rsidRDefault="009A1C61" w:rsidP="00977A37">
            <w:pPr>
              <w:jc w:val="center"/>
              <w:rPr>
                <w:rFonts w:ascii="Times New Roman" w:eastAsia="Times New Roman" w:hAnsi="Times New Roman" w:cs="Times New Roman"/>
                <w:color w:val="000000"/>
                <w:sz w:val="16"/>
                <w:szCs w:val="16"/>
                <w:lang w:eastAsia="tr-TR"/>
              </w:rPr>
            </w:pPr>
            <w:r w:rsidRPr="009A1C61">
              <w:rPr>
                <w:rFonts w:ascii="Times New Roman" w:eastAsia="Times New Roman" w:hAnsi="Times New Roman" w:cs="Times New Roman"/>
                <w:color w:val="000000"/>
                <w:sz w:val="16"/>
                <w:szCs w:val="16"/>
                <w:lang w:eastAsia="tr-TR"/>
              </w:rPr>
              <w:t>6</w:t>
            </w:r>
          </w:p>
        </w:tc>
        <w:tc>
          <w:tcPr>
            <w:tcW w:w="7967" w:type="dxa"/>
            <w:vAlign w:val="center"/>
            <w:hideMark/>
          </w:tcPr>
          <w:p w:rsidR="009A1C61" w:rsidRPr="009A1C61" w:rsidRDefault="009A1C61" w:rsidP="00977A37">
            <w:pPr>
              <w:jc w:val="center"/>
              <w:rPr>
                <w:rFonts w:ascii="Times New Roman" w:eastAsia="Times New Roman" w:hAnsi="Times New Roman" w:cs="Times New Roman"/>
                <w:color w:val="000000"/>
                <w:sz w:val="16"/>
                <w:szCs w:val="16"/>
                <w:lang w:eastAsia="tr-TR"/>
              </w:rPr>
            </w:pPr>
            <w:r w:rsidRPr="009A1C61">
              <w:rPr>
                <w:rFonts w:ascii="Times New Roman" w:eastAsia="Times New Roman" w:hAnsi="Times New Roman" w:cs="Times New Roman"/>
                <w:color w:val="000000"/>
                <w:sz w:val="16"/>
                <w:szCs w:val="16"/>
                <w:lang w:eastAsia="tr-TR"/>
              </w:rPr>
              <w:t>Sportif faaliyetler ve bu amaçla kurulmuş tesislerden</w:t>
            </w:r>
          </w:p>
        </w:tc>
        <w:tc>
          <w:tcPr>
            <w:tcW w:w="851" w:type="dxa"/>
            <w:vAlign w:val="center"/>
            <w:hideMark/>
          </w:tcPr>
          <w:p w:rsidR="009A1C61" w:rsidRPr="009A1C61" w:rsidRDefault="009A1C61" w:rsidP="00B17244">
            <w:pPr>
              <w:jc w:val="center"/>
              <w:rPr>
                <w:rFonts w:ascii="Times New Roman" w:eastAsia="Times New Roman" w:hAnsi="Times New Roman" w:cs="Times New Roman"/>
                <w:color w:val="000000"/>
                <w:sz w:val="16"/>
                <w:szCs w:val="16"/>
                <w:lang w:eastAsia="tr-TR"/>
              </w:rPr>
            </w:pPr>
            <w:r w:rsidRPr="009A1C61">
              <w:rPr>
                <w:rFonts w:ascii="Times New Roman" w:eastAsia="Times New Roman" w:hAnsi="Times New Roman" w:cs="Times New Roman"/>
                <w:color w:val="000000"/>
                <w:sz w:val="16"/>
                <w:szCs w:val="16"/>
                <w:lang w:eastAsia="tr-TR"/>
              </w:rPr>
              <w:t>52,10</w:t>
            </w:r>
          </w:p>
        </w:tc>
        <w:tc>
          <w:tcPr>
            <w:tcW w:w="850" w:type="dxa"/>
            <w:shd w:val="clear" w:color="auto" w:fill="D9D9D9" w:themeFill="background1" w:themeFillShade="D9"/>
            <w:vAlign w:val="center"/>
            <w:hideMark/>
          </w:tcPr>
          <w:p w:rsidR="009A1C61" w:rsidRPr="009A1C61" w:rsidRDefault="009A1C61" w:rsidP="00B17244">
            <w:pPr>
              <w:jc w:val="center"/>
              <w:rPr>
                <w:rFonts w:ascii="Times New Roman" w:eastAsia="Times New Roman" w:hAnsi="Times New Roman" w:cs="Times New Roman"/>
                <w:color w:val="000000"/>
                <w:sz w:val="16"/>
                <w:szCs w:val="16"/>
                <w:lang w:eastAsia="tr-TR"/>
              </w:rPr>
            </w:pPr>
            <w:r w:rsidRPr="009A1C61">
              <w:rPr>
                <w:rFonts w:ascii="Times New Roman" w:eastAsia="Times New Roman" w:hAnsi="Times New Roman" w:cs="Times New Roman"/>
                <w:color w:val="000000"/>
                <w:sz w:val="16"/>
                <w:szCs w:val="16"/>
                <w:lang w:eastAsia="tr-TR"/>
              </w:rPr>
              <w:t>32,93</w:t>
            </w:r>
          </w:p>
        </w:tc>
        <w:tc>
          <w:tcPr>
            <w:tcW w:w="1276" w:type="dxa"/>
            <w:vAlign w:val="center"/>
            <w:hideMark/>
          </w:tcPr>
          <w:p w:rsidR="009A1C61" w:rsidRPr="009A1C61" w:rsidRDefault="009A1C61" w:rsidP="00B17244">
            <w:pPr>
              <w:jc w:val="center"/>
              <w:rPr>
                <w:rFonts w:ascii="Times New Roman" w:eastAsia="Times New Roman" w:hAnsi="Times New Roman" w:cs="Times New Roman"/>
                <w:color w:val="000000"/>
                <w:sz w:val="16"/>
                <w:szCs w:val="16"/>
                <w:lang w:eastAsia="tr-TR"/>
              </w:rPr>
            </w:pPr>
            <w:r w:rsidRPr="009A1C61">
              <w:rPr>
                <w:rFonts w:ascii="Times New Roman" w:eastAsia="Times New Roman" w:hAnsi="Times New Roman" w:cs="Times New Roman"/>
                <w:color w:val="000000"/>
                <w:sz w:val="16"/>
                <w:szCs w:val="16"/>
                <w:lang w:eastAsia="tr-TR"/>
              </w:rPr>
              <w:t>14,97</w:t>
            </w:r>
          </w:p>
        </w:tc>
      </w:tr>
      <w:tr w:rsidR="00B17244" w:rsidRPr="009A1C61" w:rsidTr="00977A37">
        <w:trPr>
          <w:trHeight w:val="375"/>
        </w:trPr>
        <w:tc>
          <w:tcPr>
            <w:tcW w:w="426" w:type="dxa"/>
            <w:vAlign w:val="center"/>
            <w:hideMark/>
          </w:tcPr>
          <w:p w:rsidR="009A1C61" w:rsidRPr="009A1C61" w:rsidRDefault="009A1C61" w:rsidP="00977A37">
            <w:pPr>
              <w:jc w:val="center"/>
              <w:rPr>
                <w:rFonts w:ascii="Times New Roman" w:eastAsia="Times New Roman" w:hAnsi="Times New Roman" w:cs="Times New Roman"/>
                <w:color w:val="000000"/>
                <w:sz w:val="16"/>
                <w:szCs w:val="16"/>
                <w:lang w:eastAsia="tr-TR"/>
              </w:rPr>
            </w:pPr>
            <w:r w:rsidRPr="009A1C61">
              <w:rPr>
                <w:rFonts w:ascii="Times New Roman" w:eastAsia="Times New Roman" w:hAnsi="Times New Roman" w:cs="Times New Roman"/>
                <w:color w:val="000000"/>
                <w:sz w:val="16"/>
                <w:szCs w:val="16"/>
                <w:lang w:eastAsia="tr-TR"/>
              </w:rPr>
              <w:t>7</w:t>
            </w:r>
          </w:p>
        </w:tc>
        <w:tc>
          <w:tcPr>
            <w:tcW w:w="7967" w:type="dxa"/>
            <w:vAlign w:val="center"/>
            <w:hideMark/>
          </w:tcPr>
          <w:p w:rsidR="009A1C61" w:rsidRPr="009A1C61" w:rsidRDefault="009A1C61" w:rsidP="00977A37">
            <w:pPr>
              <w:jc w:val="center"/>
              <w:rPr>
                <w:rFonts w:ascii="Times New Roman" w:eastAsia="Times New Roman" w:hAnsi="Times New Roman" w:cs="Times New Roman"/>
                <w:color w:val="000000"/>
                <w:sz w:val="16"/>
                <w:szCs w:val="16"/>
                <w:lang w:eastAsia="tr-TR"/>
              </w:rPr>
            </w:pPr>
            <w:r w:rsidRPr="009A1C61">
              <w:rPr>
                <w:rFonts w:ascii="Times New Roman" w:eastAsia="Times New Roman" w:hAnsi="Times New Roman" w:cs="Times New Roman"/>
                <w:color w:val="000000"/>
                <w:sz w:val="16"/>
                <w:szCs w:val="16"/>
                <w:lang w:eastAsia="tr-TR"/>
              </w:rPr>
              <w:t>Sağlık hizmetleri ve bu amaçla kurulmuş tesislerden</w:t>
            </w:r>
          </w:p>
        </w:tc>
        <w:tc>
          <w:tcPr>
            <w:tcW w:w="851" w:type="dxa"/>
            <w:vAlign w:val="center"/>
            <w:hideMark/>
          </w:tcPr>
          <w:p w:rsidR="009A1C61" w:rsidRPr="009A1C61" w:rsidRDefault="009A1C61" w:rsidP="00B17244">
            <w:pPr>
              <w:jc w:val="center"/>
              <w:rPr>
                <w:rFonts w:ascii="Times New Roman" w:eastAsia="Times New Roman" w:hAnsi="Times New Roman" w:cs="Times New Roman"/>
                <w:color w:val="000000"/>
                <w:sz w:val="16"/>
                <w:szCs w:val="16"/>
                <w:lang w:eastAsia="tr-TR"/>
              </w:rPr>
            </w:pPr>
            <w:r w:rsidRPr="009A1C61">
              <w:rPr>
                <w:rFonts w:ascii="Times New Roman" w:eastAsia="Times New Roman" w:hAnsi="Times New Roman" w:cs="Times New Roman"/>
                <w:color w:val="000000"/>
                <w:sz w:val="16"/>
                <w:szCs w:val="16"/>
                <w:lang w:eastAsia="tr-TR"/>
              </w:rPr>
              <w:t>45,51</w:t>
            </w:r>
          </w:p>
        </w:tc>
        <w:tc>
          <w:tcPr>
            <w:tcW w:w="850" w:type="dxa"/>
            <w:shd w:val="clear" w:color="auto" w:fill="D9D9D9" w:themeFill="background1" w:themeFillShade="D9"/>
            <w:vAlign w:val="center"/>
            <w:hideMark/>
          </w:tcPr>
          <w:p w:rsidR="009A1C61" w:rsidRPr="009A1C61" w:rsidRDefault="009A1C61" w:rsidP="00B17244">
            <w:pPr>
              <w:jc w:val="center"/>
              <w:rPr>
                <w:rFonts w:ascii="Times New Roman" w:eastAsia="Times New Roman" w:hAnsi="Times New Roman" w:cs="Times New Roman"/>
                <w:color w:val="000000"/>
                <w:sz w:val="16"/>
                <w:szCs w:val="16"/>
                <w:lang w:eastAsia="tr-TR"/>
              </w:rPr>
            </w:pPr>
            <w:r w:rsidRPr="009A1C61">
              <w:rPr>
                <w:rFonts w:ascii="Times New Roman" w:eastAsia="Times New Roman" w:hAnsi="Times New Roman" w:cs="Times New Roman"/>
                <w:color w:val="000000"/>
                <w:sz w:val="16"/>
                <w:szCs w:val="16"/>
                <w:lang w:eastAsia="tr-TR"/>
              </w:rPr>
              <w:t>32,34</w:t>
            </w:r>
          </w:p>
        </w:tc>
        <w:tc>
          <w:tcPr>
            <w:tcW w:w="1276" w:type="dxa"/>
            <w:vAlign w:val="center"/>
            <w:hideMark/>
          </w:tcPr>
          <w:p w:rsidR="009A1C61" w:rsidRPr="009A1C61" w:rsidRDefault="009A1C61" w:rsidP="00B17244">
            <w:pPr>
              <w:jc w:val="center"/>
              <w:rPr>
                <w:rFonts w:ascii="Times New Roman" w:eastAsia="Times New Roman" w:hAnsi="Times New Roman" w:cs="Times New Roman"/>
                <w:color w:val="000000"/>
                <w:sz w:val="16"/>
                <w:szCs w:val="16"/>
                <w:lang w:eastAsia="tr-TR"/>
              </w:rPr>
            </w:pPr>
            <w:r w:rsidRPr="009A1C61">
              <w:rPr>
                <w:rFonts w:ascii="Times New Roman" w:eastAsia="Times New Roman" w:hAnsi="Times New Roman" w:cs="Times New Roman"/>
                <w:color w:val="000000"/>
                <w:sz w:val="16"/>
                <w:szCs w:val="16"/>
                <w:lang w:eastAsia="tr-TR"/>
              </w:rPr>
              <w:t>22,15</w:t>
            </w:r>
          </w:p>
        </w:tc>
      </w:tr>
    </w:tbl>
    <w:p w:rsidR="00BB7819" w:rsidRDefault="00BB7819" w:rsidP="002404CD">
      <w:pPr>
        <w:jc w:val="both"/>
        <w:rPr>
          <w:rFonts w:ascii="Times New Roman" w:hAnsi="Times New Roman" w:cs="Times New Roman"/>
          <w:sz w:val="16"/>
          <w:szCs w:val="16"/>
        </w:rPr>
      </w:pPr>
    </w:p>
    <w:p w:rsidR="00977A37" w:rsidRDefault="00977A37" w:rsidP="00715CE4">
      <w:pPr>
        <w:ind w:left="-284"/>
        <w:jc w:val="both"/>
        <w:rPr>
          <w:rFonts w:ascii="Times New Roman" w:hAnsi="Times New Roman" w:cs="Times New Roman"/>
          <w:sz w:val="16"/>
          <w:szCs w:val="16"/>
        </w:rPr>
      </w:pPr>
      <w:r>
        <w:rPr>
          <w:noProof/>
          <w:lang w:eastAsia="tr-TR"/>
        </w:rPr>
        <w:drawing>
          <wp:inline distT="0" distB="0" distL="0" distR="0" wp14:anchorId="7DA6B2B3" wp14:editId="070F776B">
            <wp:extent cx="7185025" cy="5650173"/>
            <wp:effectExtent l="0" t="0" r="15875" b="8255"/>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C6075" w:rsidRDefault="007C6075" w:rsidP="00715CE4">
      <w:pPr>
        <w:ind w:left="-284"/>
        <w:jc w:val="both"/>
        <w:rPr>
          <w:rFonts w:ascii="Times New Roman" w:hAnsi="Times New Roman" w:cs="Times New Roman"/>
          <w:sz w:val="16"/>
          <w:szCs w:val="16"/>
        </w:rPr>
      </w:pPr>
    </w:p>
    <w:p w:rsidR="007C6075" w:rsidRPr="007C6075" w:rsidRDefault="007C6075" w:rsidP="007C6075">
      <w:pPr>
        <w:spacing w:after="0"/>
        <w:ind w:left="-284"/>
        <w:jc w:val="center"/>
        <w:rPr>
          <w:rFonts w:ascii="Times New Roman" w:hAnsi="Times New Roman" w:cs="Times New Roman"/>
          <w:sz w:val="32"/>
          <w:szCs w:val="32"/>
        </w:rPr>
      </w:pPr>
      <w:bookmarkStart w:id="0" w:name="_GoBack"/>
      <w:r w:rsidRPr="007C6075">
        <w:rPr>
          <w:rFonts w:ascii="Times New Roman" w:hAnsi="Times New Roman" w:cs="Times New Roman"/>
          <w:sz w:val="32"/>
          <w:szCs w:val="32"/>
        </w:rPr>
        <w:t>Gönül BAŞ</w:t>
      </w:r>
    </w:p>
    <w:p w:rsidR="007C6075" w:rsidRPr="007C6075" w:rsidRDefault="007C6075" w:rsidP="007C6075">
      <w:pPr>
        <w:spacing w:after="0"/>
        <w:ind w:left="-284"/>
        <w:jc w:val="center"/>
        <w:rPr>
          <w:rFonts w:ascii="Times New Roman" w:hAnsi="Times New Roman" w:cs="Times New Roman"/>
          <w:sz w:val="32"/>
          <w:szCs w:val="32"/>
        </w:rPr>
      </w:pPr>
      <w:r w:rsidRPr="007C6075">
        <w:rPr>
          <w:rFonts w:ascii="Times New Roman" w:hAnsi="Times New Roman" w:cs="Times New Roman"/>
          <w:sz w:val="32"/>
          <w:szCs w:val="32"/>
        </w:rPr>
        <w:t>İSTATİSTİKÇİ</w:t>
      </w:r>
      <w:bookmarkEnd w:id="0"/>
    </w:p>
    <w:sectPr w:rsidR="007C6075" w:rsidRPr="007C6075" w:rsidSect="00222BFD">
      <w:pgSz w:w="11906" w:h="16838"/>
      <w:pgMar w:top="567" w:right="140"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55CF"/>
    <w:multiLevelType w:val="hybridMultilevel"/>
    <w:tmpl w:val="D408CC5C"/>
    <w:lvl w:ilvl="0" w:tplc="D04ECE3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BD2844"/>
    <w:multiLevelType w:val="hybridMultilevel"/>
    <w:tmpl w:val="082E26CE"/>
    <w:lvl w:ilvl="0" w:tplc="041F000F">
      <w:start w:val="1"/>
      <w:numFmt w:val="decimal"/>
      <w:lvlText w:val="%1."/>
      <w:lvlJc w:val="left"/>
      <w:pPr>
        <w:ind w:left="720" w:hanging="360"/>
      </w:pPr>
      <w:rPr>
        <w:rFonts w:hint="default"/>
        <w:sz w:val="16"/>
        <w:szCs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8672B1F"/>
    <w:multiLevelType w:val="hybridMultilevel"/>
    <w:tmpl w:val="DA708C0A"/>
    <w:lvl w:ilvl="0" w:tplc="330C9CE8">
      <w:start w:val="1"/>
      <w:numFmt w:val="decimal"/>
      <w:lvlText w:val="%1."/>
      <w:lvlJc w:val="left"/>
      <w:pPr>
        <w:ind w:left="-65" w:hanging="360"/>
      </w:pPr>
      <w:rPr>
        <w:rFonts w:hint="default"/>
      </w:rPr>
    </w:lvl>
    <w:lvl w:ilvl="1" w:tplc="041F0019" w:tentative="1">
      <w:start w:val="1"/>
      <w:numFmt w:val="lowerLetter"/>
      <w:lvlText w:val="%2."/>
      <w:lvlJc w:val="left"/>
      <w:pPr>
        <w:ind w:left="655" w:hanging="360"/>
      </w:pPr>
    </w:lvl>
    <w:lvl w:ilvl="2" w:tplc="041F001B" w:tentative="1">
      <w:start w:val="1"/>
      <w:numFmt w:val="lowerRoman"/>
      <w:lvlText w:val="%3."/>
      <w:lvlJc w:val="right"/>
      <w:pPr>
        <w:ind w:left="1375" w:hanging="180"/>
      </w:pPr>
    </w:lvl>
    <w:lvl w:ilvl="3" w:tplc="041F000F" w:tentative="1">
      <w:start w:val="1"/>
      <w:numFmt w:val="decimal"/>
      <w:lvlText w:val="%4."/>
      <w:lvlJc w:val="left"/>
      <w:pPr>
        <w:ind w:left="2095" w:hanging="360"/>
      </w:pPr>
    </w:lvl>
    <w:lvl w:ilvl="4" w:tplc="041F0019" w:tentative="1">
      <w:start w:val="1"/>
      <w:numFmt w:val="lowerLetter"/>
      <w:lvlText w:val="%5."/>
      <w:lvlJc w:val="left"/>
      <w:pPr>
        <w:ind w:left="2815" w:hanging="360"/>
      </w:pPr>
    </w:lvl>
    <w:lvl w:ilvl="5" w:tplc="041F001B" w:tentative="1">
      <w:start w:val="1"/>
      <w:numFmt w:val="lowerRoman"/>
      <w:lvlText w:val="%6."/>
      <w:lvlJc w:val="right"/>
      <w:pPr>
        <w:ind w:left="3535" w:hanging="180"/>
      </w:pPr>
    </w:lvl>
    <w:lvl w:ilvl="6" w:tplc="041F000F" w:tentative="1">
      <w:start w:val="1"/>
      <w:numFmt w:val="decimal"/>
      <w:lvlText w:val="%7."/>
      <w:lvlJc w:val="left"/>
      <w:pPr>
        <w:ind w:left="4255" w:hanging="360"/>
      </w:pPr>
    </w:lvl>
    <w:lvl w:ilvl="7" w:tplc="041F0019" w:tentative="1">
      <w:start w:val="1"/>
      <w:numFmt w:val="lowerLetter"/>
      <w:lvlText w:val="%8."/>
      <w:lvlJc w:val="left"/>
      <w:pPr>
        <w:ind w:left="4975" w:hanging="360"/>
      </w:pPr>
    </w:lvl>
    <w:lvl w:ilvl="8" w:tplc="041F001B" w:tentative="1">
      <w:start w:val="1"/>
      <w:numFmt w:val="lowerRoman"/>
      <w:lvlText w:val="%9."/>
      <w:lvlJc w:val="right"/>
      <w:pPr>
        <w:ind w:left="5695" w:hanging="180"/>
      </w:pPr>
    </w:lvl>
  </w:abstractNum>
  <w:abstractNum w:abstractNumId="3" w15:restartNumberingAfterBreak="0">
    <w:nsid w:val="47A41DDA"/>
    <w:multiLevelType w:val="hybridMultilevel"/>
    <w:tmpl w:val="37A88DAE"/>
    <w:lvl w:ilvl="0" w:tplc="EA7AFC16">
      <w:start w:val="1"/>
      <w:numFmt w:val="bullet"/>
      <w:lvlText w:val=""/>
      <w:lvlJc w:val="left"/>
      <w:pPr>
        <w:ind w:left="720" w:hanging="360"/>
      </w:pPr>
      <w:rPr>
        <w:rFonts w:ascii="Wingdings" w:hAnsi="Wingdings" w:hint="default"/>
        <w:sz w:val="16"/>
        <w:szCs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A8934C0"/>
    <w:multiLevelType w:val="hybridMultilevel"/>
    <w:tmpl w:val="92CADD30"/>
    <w:lvl w:ilvl="0" w:tplc="18946880">
      <w:start w:val="1"/>
      <w:numFmt w:val="bullet"/>
      <w:lvlText w:val=""/>
      <w:lvlJc w:val="left"/>
      <w:pPr>
        <w:ind w:left="720" w:hanging="360"/>
      </w:pPr>
      <w:rPr>
        <w:rFonts w:ascii="Wingdings" w:hAnsi="Wingdings" w:hint="default"/>
        <w:sz w:val="16"/>
        <w:szCs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DE"/>
    <w:rsid w:val="00012E60"/>
    <w:rsid w:val="00015877"/>
    <w:rsid w:val="00044743"/>
    <w:rsid w:val="000626F4"/>
    <w:rsid w:val="00063BC2"/>
    <w:rsid w:val="00067382"/>
    <w:rsid w:val="000900CA"/>
    <w:rsid w:val="00090FFC"/>
    <w:rsid w:val="000915E1"/>
    <w:rsid w:val="000940F6"/>
    <w:rsid w:val="00096BC1"/>
    <w:rsid w:val="000A3EC6"/>
    <w:rsid w:val="000A52AD"/>
    <w:rsid w:val="000B410C"/>
    <w:rsid w:val="000C0ADE"/>
    <w:rsid w:val="000C31AA"/>
    <w:rsid w:val="000C65E2"/>
    <w:rsid w:val="000D17CB"/>
    <w:rsid w:val="000D6CC9"/>
    <w:rsid w:val="000E1644"/>
    <w:rsid w:val="000F4F94"/>
    <w:rsid w:val="00101A54"/>
    <w:rsid w:val="00112377"/>
    <w:rsid w:val="00114340"/>
    <w:rsid w:val="001155C7"/>
    <w:rsid w:val="0011572D"/>
    <w:rsid w:val="0013627E"/>
    <w:rsid w:val="0013787E"/>
    <w:rsid w:val="00143073"/>
    <w:rsid w:val="00143ACB"/>
    <w:rsid w:val="00143E34"/>
    <w:rsid w:val="00145231"/>
    <w:rsid w:val="00160373"/>
    <w:rsid w:val="00160C33"/>
    <w:rsid w:val="00160EB3"/>
    <w:rsid w:val="00162908"/>
    <w:rsid w:val="0016394C"/>
    <w:rsid w:val="00177E9D"/>
    <w:rsid w:val="00182FC5"/>
    <w:rsid w:val="001879AF"/>
    <w:rsid w:val="00187BED"/>
    <w:rsid w:val="00190F1C"/>
    <w:rsid w:val="001A0B6E"/>
    <w:rsid w:val="001A4D12"/>
    <w:rsid w:val="001B09D6"/>
    <w:rsid w:val="001B2D53"/>
    <w:rsid w:val="001D0052"/>
    <w:rsid w:val="001D7D91"/>
    <w:rsid w:val="001E2B4B"/>
    <w:rsid w:val="001F3FE7"/>
    <w:rsid w:val="00200593"/>
    <w:rsid w:val="00215C1F"/>
    <w:rsid w:val="00217140"/>
    <w:rsid w:val="00222BFD"/>
    <w:rsid w:val="00236EA6"/>
    <w:rsid w:val="002404CD"/>
    <w:rsid w:val="00251785"/>
    <w:rsid w:val="00255D05"/>
    <w:rsid w:val="0026280C"/>
    <w:rsid w:val="002747D5"/>
    <w:rsid w:val="002763F9"/>
    <w:rsid w:val="0028045D"/>
    <w:rsid w:val="00280BDD"/>
    <w:rsid w:val="00281CCD"/>
    <w:rsid w:val="00287EA3"/>
    <w:rsid w:val="00295A3C"/>
    <w:rsid w:val="002A17E0"/>
    <w:rsid w:val="002B3754"/>
    <w:rsid w:val="002B41CD"/>
    <w:rsid w:val="002C4A1C"/>
    <w:rsid w:val="002C5820"/>
    <w:rsid w:val="002D6760"/>
    <w:rsid w:val="002E7940"/>
    <w:rsid w:val="002F5EF8"/>
    <w:rsid w:val="00307C05"/>
    <w:rsid w:val="00324FE6"/>
    <w:rsid w:val="00334C5C"/>
    <w:rsid w:val="00340C98"/>
    <w:rsid w:val="00347BCB"/>
    <w:rsid w:val="00350583"/>
    <w:rsid w:val="0035497F"/>
    <w:rsid w:val="003A26C9"/>
    <w:rsid w:val="003B686B"/>
    <w:rsid w:val="003B6BA4"/>
    <w:rsid w:val="003C320F"/>
    <w:rsid w:val="003E5734"/>
    <w:rsid w:val="003F2140"/>
    <w:rsid w:val="003F7D4E"/>
    <w:rsid w:val="00404CDE"/>
    <w:rsid w:val="00407973"/>
    <w:rsid w:val="004135A1"/>
    <w:rsid w:val="00427F18"/>
    <w:rsid w:val="00430EF1"/>
    <w:rsid w:val="0044709E"/>
    <w:rsid w:val="004619EC"/>
    <w:rsid w:val="004679AB"/>
    <w:rsid w:val="004702EE"/>
    <w:rsid w:val="00472811"/>
    <w:rsid w:val="004949EA"/>
    <w:rsid w:val="004A528C"/>
    <w:rsid w:val="004C22D4"/>
    <w:rsid w:val="004F01E8"/>
    <w:rsid w:val="004F05DC"/>
    <w:rsid w:val="004F1FD9"/>
    <w:rsid w:val="004F4C26"/>
    <w:rsid w:val="004F7E46"/>
    <w:rsid w:val="00504243"/>
    <w:rsid w:val="005065FC"/>
    <w:rsid w:val="00514EC4"/>
    <w:rsid w:val="00516D28"/>
    <w:rsid w:val="00521097"/>
    <w:rsid w:val="0052157D"/>
    <w:rsid w:val="00524B94"/>
    <w:rsid w:val="00533F9B"/>
    <w:rsid w:val="00535836"/>
    <w:rsid w:val="005359DE"/>
    <w:rsid w:val="005365E7"/>
    <w:rsid w:val="00537E76"/>
    <w:rsid w:val="00553048"/>
    <w:rsid w:val="0055674F"/>
    <w:rsid w:val="00572D79"/>
    <w:rsid w:val="005905F6"/>
    <w:rsid w:val="00596FF0"/>
    <w:rsid w:val="005C45E0"/>
    <w:rsid w:val="005E07AC"/>
    <w:rsid w:val="005E5F89"/>
    <w:rsid w:val="005E6AA9"/>
    <w:rsid w:val="005E6F72"/>
    <w:rsid w:val="005F6789"/>
    <w:rsid w:val="00602C93"/>
    <w:rsid w:val="00604DFD"/>
    <w:rsid w:val="0061302E"/>
    <w:rsid w:val="00616E7B"/>
    <w:rsid w:val="00620A86"/>
    <w:rsid w:val="0063083B"/>
    <w:rsid w:val="00632FED"/>
    <w:rsid w:val="006463AC"/>
    <w:rsid w:val="006731E0"/>
    <w:rsid w:val="006852A8"/>
    <w:rsid w:val="00692C71"/>
    <w:rsid w:val="00695A71"/>
    <w:rsid w:val="006A767B"/>
    <w:rsid w:val="006B0C46"/>
    <w:rsid w:val="006B50C8"/>
    <w:rsid w:val="006C016F"/>
    <w:rsid w:val="006C1EAE"/>
    <w:rsid w:val="006D0A89"/>
    <w:rsid w:val="006D553C"/>
    <w:rsid w:val="006E0393"/>
    <w:rsid w:val="006E097C"/>
    <w:rsid w:val="006E6BC8"/>
    <w:rsid w:val="006F3298"/>
    <w:rsid w:val="006F4993"/>
    <w:rsid w:val="0071128B"/>
    <w:rsid w:val="00711EA6"/>
    <w:rsid w:val="0071365F"/>
    <w:rsid w:val="00715CE4"/>
    <w:rsid w:val="00724EB2"/>
    <w:rsid w:val="0072602C"/>
    <w:rsid w:val="00764FB1"/>
    <w:rsid w:val="007727D3"/>
    <w:rsid w:val="0078057A"/>
    <w:rsid w:val="00797B7C"/>
    <w:rsid w:val="007A4818"/>
    <w:rsid w:val="007A5EF5"/>
    <w:rsid w:val="007C2392"/>
    <w:rsid w:val="007C6075"/>
    <w:rsid w:val="007E19A8"/>
    <w:rsid w:val="007E19E1"/>
    <w:rsid w:val="007E2992"/>
    <w:rsid w:val="007E2A63"/>
    <w:rsid w:val="007E48BB"/>
    <w:rsid w:val="007F2B7C"/>
    <w:rsid w:val="007F6511"/>
    <w:rsid w:val="00820571"/>
    <w:rsid w:val="0084585D"/>
    <w:rsid w:val="008469C8"/>
    <w:rsid w:val="00846B13"/>
    <w:rsid w:val="008475C5"/>
    <w:rsid w:val="00860504"/>
    <w:rsid w:val="008646CE"/>
    <w:rsid w:val="00865E09"/>
    <w:rsid w:val="00880030"/>
    <w:rsid w:val="008972F3"/>
    <w:rsid w:val="008A338F"/>
    <w:rsid w:val="008B69A6"/>
    <w:rsid w:val="008D5D6E"/>
    <w:rsid w:val="008D603E"/>
    <w:rsid w:val="008E12BA"/>
    <w:rsid w:val="008E57C5"/>
    <w:rsid w:val="008F2071"/>
    <w:rsid w:val="00906CD7"/>
    <w:rsid w:val="00907B45"/>
    <w:rsid w:val="00910AA7"/>
    <w:rsid w:val="009179C0"/>
    <w:rsid w:val="0092666B"/>
    <w:rsid w:val="009341D6"/>
    <w:rsid w:val="00935ADE"/>
    <w:rsid w:val="00957196"/>
    <w:rsid w:val="009655D1"/>
    <w:rsid w:val="00977A37"/>
    <w:rsid w:val="009924FC"/>
    <w:rsid w:val="009A06A8"/>
    <w:rsid w:val="009A1C61"/>
    <w:rsid w:val="009B320F"/>
    <w:rsid w:val="009B5195"/>
    <w:rsid w:val="009B5608"/>
    <w:rsid w:val="009D5513"/>
    <w:rsid w:val="009E000E"/>
    <w:rsid w:val="009E164C"/>
    <w:rsid w:val="009E3264"/>
    <w:rsid w:val="009E4613"/>
    <w:rsid w:val="009E5C8F"/>
    <w:rsid w:val="009F75EA"/>
    <w:rsid w:val="00A01D9E"/>
    <w:rsid w:val="00A028B5"/>
    <w:rsid w:val="00A02F25"/>
    <w:rsid w:val="00A236DD"/>
    <w:rsid w:val="00A34680"/>
    <w:rsid w:val="00A41E2D"/>
    <w:rsid w:val="00A5086E"/>
    <w:rsid w:val="00A51A1A"/>
    <w:rsid w:val="00A65501"/>
    <w:rsid w:val="00A6651F"/>
    <w:rsid w:val="00A77BB4"/>
    <w:rsid w:val="00A9129D"/>
    <w:rsid w:val="00AB102F"/>
    <w:rsid w:val="00AB37DF"/>
    <w:rsid w:val="00AF3FE9"/>
    <w:rsid w:val="00B05765"/>
    <w:rsid w:val="00B17244"/>
    <w:rsid w:val="00B22019"/>
    <w:rsid w:val="00B444A1"/>
    <w:rsid w:val="00B53B06"/>
    <w:rsid w:val="00B6547B"/>
    <w:rsid w:val="00B7054A"/>
    <w:rsid w:val="00B76019"/>
    <w:rsid w:val="00B83946"/>
    <w:rsid w:val="00B90801"/>
    <w:rsid w:val="00B97545"/>
    <w:rsid w:val="00BB011F"/>
    <w:rsid w:val="00BB113B"/>
    <w:rsid w:val="00BB150F"/>
    <w:rsid w:val="00BB7819"/>
    <w:rsid w:val="00BE2557"/>
    <w:rsid w:val="00BE2E5F"/>
    <w:rsid w:val="00BE47CE"/>
    <w:rsid w:val="00BF1838"/>
    <w:rsid w:val="00C067BA"/>
    <w:rsid w:val="00C12E82"/>
    <w:rsid w:val="00C15159"/>
    <w:rsid w:val="00C21724"/>
    <w:rsid w:val="00C217B5"/>
    <w:rsid w:val="00C31A21"/>
    <w:rsid w:val="00C3475D"/>
    <w:rsid w:val="00C371C8"/>
    <w:rsid w:val="00C425A6"/>
    <w:rsid w:val="00C629A3"/>
    <w:rsid w:val="00C72015"/>
    <w:rsid w:val="00CA3482"/>
    <w:rsid w:val="00CA3A67"/>
    <w:rsid w:val="00CD5E77"/>
    <w:rsid w:val="00CF544A"/>
    <w:rsid w:val="00CF6144"/>
    <w:rsid w:val="00D025BD"/>
    <w:rsid w:val="00D10381"/>
    <w:rsid w:val="00D11F1B"/>
    <w:rsid w:val="00D21FF5"/>
    <w:rsid w:val="00D2444E"/>
    <w:rsid w:val="00D26BBF"/>
    <w:rsid w:val="00D4413F"/>
    <w:rsid w:val="00D47712"/>
    <w:rsid w:val="00D529B4"/>
    <w:rsid w:val="00D55797"/>
    <w:rsid w:val="00D56F24"/>
    <w:rsid w:val="00D77633"/>
    <w:rsid w:val="00D95C7A"/>
    <w:rsid w:val="00DA60C1"/>
    <w:rsid w:val="00DB3675"/>
    <w:rsid w:val="00DB6889"/>
    <w:rsid w:val="00DC4D35"/>
    <w:rsid w:val="00DD03FB"/>
    <w:rsid w:val="00DD6280"/>
    <w:rsid w:val="00DD72D1"/>
    <w:rsid w:val="00DE014A"/>
    <w:rsid w:val="00DE0F0C"/>
    <w:rsid w:val="00DF0101"/>
    <w:rsid w:val="00DF0C5B"/>
    <w:rsid w:val="00DF444B"/>
    <w:rsid w:val="00DF67FD"/>
    <w:rsid w:val="00E14A51"/>
    <w:rsid w:val="00E14D3A"/>
    <w:rsid w:val="00E46762"/>
    <w:rsid w:val="00E478B4"/>
    <w:rsid w:val="00E651A7"/>
    <w:rsid w:val="00E655B6"/>
    <w:rsid w:val="00E70AB1"/>
    <w:rsid w:val="00E72B57"/>
    <w:rsid w:val="00E73DD2"/>
    <w:rsid w:val="00E74C13"/>
    <w:rsid w:val="00E82159"/>
    <w:rsid w:val="00E839C7"/>
    <w:rsid w:val="00EA2410"/>
    <w:rsid w:val="00EA31FA"/>
    <w:rsid w:val="00EA6B61"/>
    <w:rsid w:val="00EA6CFD"/>
    <w:rsid w:val="00EB1B93"/>
    <w:rsid w:val="00EC0030"/>
    <w:rsid w:val="00EC00F0"/>
    <w:rsid w:val="00EC74F8"/>
    <w:rsid w:val="00EE2B2F"/>
    <w:rsid w:val="00EE5067"/>
    <w:rsid w:val="00EE5FA4"/>
    <w:rsid w:val="00EE60AB"/>
    <w:rsid w:val="00EF5B71"/>
    <w:rsid w:val="00EF6CC4"/>
    <w:rsid w:val="00F00473"/>
    <w:rsid w:val="00F1432D"/>
    <w:rsid w:val="00F16C35"/>
    <w:rsid w:val="00F31E3F"/>
    <w:rsid w:val="00F32EEB"/>
    <w:rsid w:val="00F35006"/>
    <w:rsid w:val="00F41C84"/>
    <w:rsid w:val="00F461A8"/>
    <w:rsid w:val="00F5173A"/>
    <w:rsid w:val="00F63A43"/>
    <w:rsid w:val="00F7379F"/>
    <w:rsid w:val="00F74980"/>
    <w:rsid w:val="00FA2641"/>
    <w:rsid w:val="00FC0ACD"/>
    <w:rsid w:val="00FC6895"/>
    <w:rsid w:val="00FE3184"/>
    <w:rsid w:val="00FE4AB8"/>
    <w:rsid w:val="00FF3B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F00AA"/>
  <w15:docId w15:val="{7AFBF49E-BF08-487C-9A3E-764BC43A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8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14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qFormat/>
    <w:rsid w:val="007A5EF5"/>
    <w:pPr>
      <w:spacing w:after="0" w:line="240" w:lineRule="auto"/>
      <w:ind w:left="708"/>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5E5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F46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597447">
      <w:bodyDiv w:val="1"/>
      <w:marLeft w:val="0"/>
      <w:marRight w:val="0"/>
      <w:marTop w:val="0"/>
      <w:marBottom w:val="0"/>
      <w:divBdr>
        <w:top w:val="none" w:sz="0" w:space="0" w:color="auto"/>
        <w:left w:val="none" w:sz="0" w:space="0" w:color="auto"/>
        <w:bottom w:val="none" w:sz="0" w:space="0" w:color="auto"/>
        <w:right w:val="none" w:sz="0" w:space="0" w:color="auto"/>
      </w:divBdr>
    </w:div>
    <w:div w:id="564296117">
      <w:bodyDiv w:val="1"/>
      <w:marLeft w:val="0"/>
      <w:marRight w:val="0"/>
      <w:marTop w:val="0"/>
      <w:marBottom w:val="0"/>
      <w:divBdr>
        <w:top w:val="none" w:sz="0" w:space="0" w:color="auto"/>
        <w:left w:val="none" w:sz="0" w:space="0" w:color="auto"/>
        <w:bottom w:val="none" w:sz="0" w:space="0" w:color="auto"/>
        <w:right w:val="none" w:sz="0" w:space="0" w:color="auto"/>
      </w:divBdr>
    </w:div>
    <w:div w:id="745810544">
      <w:bodyDiv w:val="1"/>
      <w:marLeft w:val="0"/>
      <w:marRight w:val="0"/>
      <w:marTop w:val="0"/>
      <w:marBottom w:val="0"/>
      <w:divBdr>
        <w:top w:val="none" w:sz="0" w:space="0" w:color="auto"/>
        <w:left w:val="none" w:sz="0" w:space="0" w:color="auto"/>
        <w:bottom w:val="none" w:sz="0" w:space="0" w:color="auto"/>
        <w:right w:val="none" w:sz="0" w:space="0" w:color="auto"/>
      </w:divBdr>
    </w:div>
    <w:div w:id="842859016">
      <w:bodyDiv w:val="1"/>
      <w:marLeft w:val="0"/>
      <w:marRight w:val="0"/>
      <w:marTop w:val="0"/>
      <w:marBottom w:val="0"/>
      <w:divBdr>
        <w:top w:val="none" w:sz="0" w:space="0" w:color="auto"/>
        <w:left w:val="none" w:sz="0" w:space="0" w:color="auto"/>
        <w:bottom w:val="none" w:sz="0" w:space="0" w:color="auto"/>
        <w:right w:val="none" w:sz="0" w:space="0" w:color="auto"/>
      </w:divBdr>
    </w:div>
    <w:div w:id="887301736">
      <w:bodyDiv w:val="1"/>
      <w:marLeft w:val="0"/>
      <w:marRight w:val="0"/>
      <w:marTop w:val="0"/>
      <w:marBottom w:val="0"/>
      <w:divBdr>
        <w:top w:val="none" w:sz="0" w:space="0" w:color="auto"/>
        <w:left w:val="none" w:sz="0" w:space="0" w:color="auto"/>
        <w:bottom w:val="none" w:sz="0" w:space="0" w:color="auto"/>
        <w:right w:val="none" w:sz="0" w:space="0" w:color="auto"/>
      </w:divBdr>
    </w:div>
    <w:div w:id="1842700967">
      <w:bodyDiv w:val="1"/>
      <w:marLeft w:val="0"/>
      <w:marRight w:val="0"/>
      <w:marTop w:val="0"/>
      <w:marBottom w:val="0"/>
      <w:divBdr>
        <w:top w:val="none" w:sz="0" w:space="0" w:color="auto"/>
        <w:left w:val="none" w:sz="0" w:space="0" w:color="auto"/>
        <w:bottom w:val="none" w:sz="0" w:space="0" w:color="auto"/>
        <w:right w:val="none" w:sz="0" w:space="0" w:color="auto"/>
      </w:divBdr>
    </w:div>
    <w:div w:id="207554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E:\Kalite\ANKETLER\2022\&#304;dari\&#304;dari%20sonu&#231;lar%20g&#252;z.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0" i="0" u="none" strike="noStrike" kern="1200" spc="0" baseline="0">
                <a:solidFill>
                  <a:schemeClr val="tx1">
                    <a:lumMod val="65000"/>
                    <a:lumOff val="35000"/>
                  </a:schemeClr>
                </a:solidFill>
                <a:latin typeface="+mn-lt"/>
                <a:ea typeface="+mn-ea"/>
                <a:cs typeface="+mn-cs"/>
              </a:defRPr>
            </a:pPr>
            <a:r>
              <a:rPr lang="tr-TR" sz="1200" b="0" i="0" u="none" strike="noStrike" baseline="0">
                <a:solidFill>
                  <a:sysClr val="windowText" lastClr="000000"/>
                </a:solidFill>
                <a:effectLst/>
                <a:latin typeface="Times New Roman" panose="02020603050405020304" pitchFamily="18" charset="0"/>
                <a:cs typeface="Times New Roman" panose="02020603050405020304" pitchFamily="18" charset="0"/>
              </a:rPr>
              <a:t>İdari Personelin </a:t>
            </a:r>
            <a:r>
              <a:rPr lang="tr-TR"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Memnuniyetinin</a:t>
            </a:r>
            <a:r>
              <a:rPr lang="tr-TR" sz="1200" b="0" i="0" u="none" strike="noStrike" baseline="0">
                <a:effectLst/>
              </a:rPr>
              <a:t> </a:t>
            </a:r>
            <a:r>
              <a:rPr lang="tr-TR" sz="1200" b="0" i="0" u="none" strike="noStrike" baseline="0">
                <a:solidFill>
                  <a:sysClr val="windowText" lastClr="000000"/>
                </a:solidFill>
                <a:effectLst/>
                <a:latin typeface="Times New Roman" panose="02020603050405020304" pitchFamily="18" charset="0"/>
                <a:cs typeface="Times New Roman" panose="02020603050405020304" pitchFamily="18" charset="0"/>
              </a:rPr>
              <a:t>Yüksek Olduğu Konular</a:t>
            </a:r>
          </a:p>
          <a:p>
            <a:pPr algn="ctr">
              <a:defRPr sz="1200"/>
            </a:pPr>
            <a:r>
              <a:rPr lang="tr-TR" sz="1200" b="0" i="0" u="none" strike="noStrike" baseline="0">
                <a:solidFill>
                  <a:sysClr val="windowText" lastClr="000000"/>
                </a:solidFill>
                <a:effectLst/>
                <a:latin typeface="Times New Roman" panose="02020603050405020304" pitchFamily="18" charset="0"/>
                <a:cs typeface="Times New Roman" panose="02020603050405020304" pitchFamily="18" charset="0"/>
              </a:rPr>
              <a:t> Yüzde (%)  </a:t>
            </a:r>
            <a:endParaRPr lang="tr-TR"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2156892712261003"/>
          <c:y val="1.9981137931653643E-2"/>
        </c:manualLayout>
      </c:layout>
      <c:overlay val="0"/>
      <c:spPr>
        <a:noFill/>
        <a:ln>
          <a:noFill/>
        </a:ln>
        <a:effectLst/>
      </c:spPr>
      <c:txPr>
        <a:bodyPr rot="0" spcFirstLastPara="1" vertOverflow="ellipsis" vert="horz" wrap="square" anchor="ctr" anchorCtr="1"/>
        <a:lstStyle/>
        <a:p>
          <a:pPr algn="ctr">
            <a:defRPr sz="12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15"/>
      <c:rotY val="8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8523972724627185E-2"/>
          <c:y val="7.7227118483013946E-2"/>
          <c:w val="0.93563531227035868"/>
          <c:h val="0.36197198392876534"/>
        </c:manualLayout>
      </c:layout>
      <c:bar3DChart>
        <c:barDir val="col"/>
        <c:grouping val="clustered"/>
        <c:varyColors val="0"/>
        <c:ser>
          <c:idx val="0"/>
          <c:order val="0"/>
          <c:tx>
            <c:strRef>
              <c:f>'MEMNUNİYETİ YÜKSEK'!$D$4:$D$5</c:f>
              <c:strCache>
                <c:ptCount val="2"/>
                <c:pt idx="0">
                  <c:v>Çok memnunum &amp; Memnunum</c:v>
                </c:pt>
                <c:pt idx="1">
                  <c:v>%</c:v>
                </c:pt>
              </c:strCache>
            </c:strRef>
          </c:tx>
          <c:spPr>
            <a:solidFill>
              <a:schemeClr val="accent1"/>
            </a:solidFill>
            <a:ln>
              <a:noFill/>
            </a:ln>
            <a:effectLst/>
            <a:sp3d/>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extLst>
                <c:ext xmlns:c16="http://schemas.microsoft.com/office/drawing/2014/chart" uri="{C3380CC4-5D6E-409C-BE32-E72D297353CC}">
                  <c16:uniqueId val="{00000000-EC76-4DE2-ADFE-9849ADA90F0D}"/>
                </c:ext>
              </c:extLst>
            </c:dLbl>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'MEMNUNİYETİ YÜKSEK'!$B$6:$C$40</c:f>
              <c:multiLvlStrCache>
                <c:ptCount val="35"/>
                <c:lvl>
                  <c:pt idx="0">
                    <c:v>Kurum içi iletişim araçlarının (e-posta, duyurular gibi) yeterliliğinden</c:v>
                  </c:pt>
                  <c:pt idx="1">
                    <c:v>İnternet, bilgi işlem ve öğrenci/akademisyen bilgi sistemi hizmetlerinden</c:v>
                  </c:pt>
                  <c:pt idx="2">
                    <c:v>Görev yaptığım birim web sayfasının tasarım ve içeriğinden</c:v>
                  </c:pt>
                  <c:pt idx="3">
                    <c:v>Üniversitemiz web sayfasının tasarım ve içeriğinden</c:v>
                  </c:pt>
                  <c:pt idx="4">
                    <c:v>Birim yöneticilerine ulaşılabilirlikten</c:v>
                  </c:pt>
                  <c:pt idx="5">
                    <c:v>Görev yaptığım birimin bir mensubu olmaktan</c:v>
                  </c:pt>
                  <c:pt idx="6">
                    <c:v>Üniversitemizin bir mensubu olmaktan (Üniversiteye ilişkin genel memnuniyet)</c:v>
                  </c:pt>
                  <c:pt idx="7">
                    <c:v>Binalar ve ofislerin temizliğinden</c:v>
                  </c:pt>
                  <c:pt idx="8">
                    <c:v>Kampüs alanının genel temizliğinden</c:v>
                  </c:pt>
                  <c:pt idx="9">
                    <c:v>Güvenlik tedbirlerinin (yangın, deprem, güvenlik hizmetleri …) yeterliliğinden</c:v>
                  </c:pt>
                  <c:pt idx="10">
                    <c:v>Yemekhane, kafeterya ve kantin hizmetlerinden</c:v>
                  </c:pt>
                  <c:pt idx="11">
                    <c:v>Ofislerin fiziki ve donanımsal (bilgisayar, yazıcı, dolap gibi) yeterliliğinden</c:v>
                  </c:pt>
                  <c:pt idx="12">
                    <c:v>Üniversite üst yönetimine (Rektör, Rektör Yardımcıları) ulaşılabilirlikten</c:v>
                  </c:pt>
                  <c:pt idx="13">
                    <c:v>Servis / ulaşım hizmetlerinden</c:v>
                  </c:pt>
                  <c:pt idx="14">
                    <c:v>Çalışma ortamındaki huzur ve işimi iyi yapabileceğim ortamın sağlanmasından</c:v>
                  </c:pt>
                  <c:pt idx="15">
                    <c:v>İdari personel arasındaki iletişim ve ilişkilerden</c:v>
                  </c:pt>
                  <c:pt idx="16">
                    <c:v>Yapım ve onarım hizmetlerinden</c:v>
                  </c:pt>
                  <c:pt idx="17">
                    <c:v>Sportif faaliyetler ve bu amaçla kurulmuş tesislerden</c:v>
                  </c:pt>
                  <c:pt idx="18">
                    <c:v>Birim Kurul (Yönetim K, Fakülte K, Bölüm K. …) kararlarının şeffaflık ve hesap verilebilirliğinden</c:v>
                  </c:pt>
                  <c:pt idx="19">
                    <c:v>Üniversitemizin vizyon ve misyonundan</c:v>
                  </c:pt>
                  <c:pt idx="20">
                    <c:v>Dış paydaşlarla (kamu kurumları, özel sektör, sivil toplum kuruluşları, halk …) olan ilişkilerden</c:v>
                  </c:pt>
                  <c:pt idx="21">
                    <c:v>Düşünceleri ifade özgürlüğünden</c:v>
                  </c:pt>
                  <c:pt idx="22">
                    <c:v>Üniversitemizin beklentilerinizi karşılama düzeyinden</c:v>
                  </c:pt>
                  <c:pt idx="23">
                    <c:v>Akademik personel ile iletişim ve ilişkilerden</c:v>
                  </c:pt>
                  <c:pt idx="24">
                    <c:v>Üniversitede yürütülen Kalite Güvencesi ve Kalite Geliştirme çabalarından</c:v>
                  </c:pt>
                  <c:pt idx="25">
                    <c:v>Üniversitemizin kurumsallaşma düzeyinden</c:v>
                  </c:pt>
                  <c:pt idx="26">
                    <c:v>Kültür ve sanat etkinlikleri ile bu amaçla kurulmuş tesislerden</c:v>
                  </c:pt>
                  <c:pt idx="27">
                    <c:v>Üniversite’de (ve ilgili birimde) görev yapan idari ve destek personelin niteliğinden</c:v>
                  </c:pt>
                  <c:pt idx="28">
                    <c:v>Senato ve Üniversite Yönetim Kurulu kararlarının şeffaflık ve hesap verilebilirliğinden</c:v>
                  </c:pt>
                  <c:pt idx="29">
                    <c:v>Üniversite’de (ve ilgili birimde) görev yapan idari ve destek personel sayısından</c:v>
                  </c:pt>
                  <c:pt idx="30">
                    <c:v>Sağlık hizmetleri ve bu amaçla kurulmuş tesislerden</c:v>
                  </c:pt>
                  <c:pt idx="31">
                    <c:v>İdari personelin üstleriyle / amirleriyle olan ilişkileri, üst ve alt kademeler arasında sorunların tartışılma olanakları ve geribildirim süreçlerinden</c:v>
                  </c:pt>
                  <c:pt idx="32">
                    <c:v>İdari personeline sunulan hizmet içi eğitim olanaklarından</c:v>
                  </c:pt>
                  <c:pt idx="33">
                    <c:v>Diğer üniversiteler ile olan ilişkilerden</c:v>
                  </c:pt>
                  <c:pt idx="34">
                    <c:v>Üniversitemizin Türkiye’deki diğer üniversiteler içindeki konumundan</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lvl>
              </c:multiLvlStrCache>
            </c:multiLvlStrRef>
          </c:cat>
          <c:val>
            <c:numRef>
              <c:f>'MEMNUNİYETİ YÜKSEK'!$D$6:$D$40</c:f>
              <c:numCache>
                <c:formatCode>0.00</c:formatCode>
                <c:ptCount val="35"/>
                <c:pt idx="0">
                  <c:v>83.83</c:v>
                </c:pt>
                <c:pt idx="1">
                  <c:v>77.25</c:v>
                </c:pt>
                <c:pt idx="2">
                  <c:v>76.05</c:v>
                </c:pt>
                <c:pt idx="3">
                  <c:v>73.66</c:v>
                </c:pt>
                <c:pt idx="4">
                  <c:v>73.650000000000006</c:v>
                </c:pt>
                <c:pt idx="5">
                  <c:v>69.460000000000008</c:v>
                </c:pt>
                <c:pt idx="6">
                  <c:v>68.86</c:v>
                </c:pt>
                <c:pt idx="7">
                  <c:v>68.27000000000001</c:v>
                </c:pt>
                <c:pt idx="8">
                  <c:v>67.06</c:v>
                </c:pt>
                <c:pt idx="9">
                  <c:v>64.08</c:v>
                </c:pt>
                <c:pt idx="10">
                  <c:v>63.47</c:v>
                </c:pt>
                <c:pt idx="11">
                  <c:v>62.870000000000005</c:v>
                </c:pt>
                <c:pt idx="12">
                  <c:v>62.28</c:v>
                </c:pt>
                <c:pt idx="13">
                  <c:v>60.48</c:v>
                </c:pt>
                <c:pt idx="14">
                  <c:v>60.48</c:v>
                </c:pt>
                <c:pt idx="15">
                  <c:v>58.080000000000005</c:v>
                </c:pt>
                <c:pt idx="16">
                  <c:v>53.290000000000006</c:v>
                </c:pt>
                <c:pt idx="17">
                  <c:v>52.099999999999994</c:v>
                </c:pt>
                <c:pt idx="18">
                  <c:v>51.5</c:v>
                </c:pt>
                <c:pt idx="19">
                  <c:v>49.7</c:v>
                </c:pt>
                <c:pt idx="20">
                  <c:v>49.1</c:v>
                </c:pt>
                <c:pt idx="21">
                  <c:v>48.5</c:v>
                </c:pt>
                <c:pt idx="22">
                  <c:v>47.91</c:v>
                </c:pt>
                <c:pt idx="23">
                  <c:v>47.9</c:v>
                </c:pt>
                <c:pt idx="24">
                  <c:v>47.309999999999995</c:v>
                </c:pt>
                <c:pt idx="25">
                  <c:v>47.3</c:v>
                </c:pt>
                <c:pt idx="26">
                  <c:v>46.11</c:v>
                </c:pt>
                <c:pt idx="27">
                  <c:v>46.11</c:v>
                </c:pt>
                <c:pt idx="28">
                  <c:v>46.11</c:v>
                </c:pt>
                <c:pt idx="29">
                  <c:v>45.519999999999996</c:v>
                </c:pt>
                <c:pt idx="30">
                  <c:v>45.510000000000005</c:v>
                </c:pt>
                <c:pt idx="31">
                  <c:v>44.31</c:v>
                </c:pt>
                <c:pt idx="32">
                  <c:v>44.31</c:v>
                </c:pt>
                <c:pt idx="33">
                  <c:v>43.12</c:v>
                </c:pt>
                <c:pt idx="34">
                  <c:v>42.519999999999996</c:v>
                </c:pt>
              </c:numCache>
            </c:numRef>
          </c:val>
          <c:extLst>
            <c:ext xmlns:c16="http://schemas.microsoft.com/office/drawing/2014/chart" uri="{C3380CC4-5D6E-409C-BE32-E72D297353CC}">
              <c16:uniqueId val="{00000000-768E-4E76-8356-169A58AE7195}"/>
            </c:ext>
          </c:extLst>
        </c:ser>
        <c:ser>
          <c:idx val="1"/>
          <c:order val="1"/>
          <c:tx>
            <c:strRef>
              <c:f>'MEMNUNİYETİ YÜKSEK'!$E$4:$E$5</c:f>
              <c:strCache>
                <c:ptCount val="2"/>
                <c:pt idx="0">
                  <c:v>Kararsızım</c:v>
                </c:pt>
                <c:pt idx="1">
                  <c:v>%</c:v>
                </c:pt>
              </c:strCache>
            </c:strRef>
          </c:tx>
          <c:spPr>
            <a:solidFill>
              <a:schemeClr val="accent2"/>
            </a:solidFill>
            <a:ln>
              <a:noFill/>
            </a:ln>
            <a:effectLst/>
            <a:sp3d/>
          </c:spPr>
          <c:invertIfNegative val="0"/>
          <c:cat>
            <c:multiLvlStrRef>
              <c:f>'MEMNUNİYETİ YÜKSEK'!$B$6:$C$40</c:f>
              <c:multiLvlStrCache>
                <c:ptCount val="35"/>
                <c:lvl>
                  <c:pt idx="0">
                    <c:v>Kurum içi iletişim araçlarının (e-posta, duyurular gibi) yeterliliğinden</c:v>
                  </c:pt>
                  <c:pt idx="1">
                    <c:v>İnternet, bilgi işlem ve öğrenci/akademisyen bilgi sistemi hizmetlerinden</c:v>
                  </c:pt>
                  <c:pt idx="2">
                    <c:v>Görev yaptığım birim web sayfasının tasarım ve içeriğinden</c:v>
                  </c:pt>
                  <c:pt idx="3">
                    <c:v>Üniversitemiz web sayfasının tasarım ve içeriğinden</c:v>
                  </c:pt>
                  <c:pt idx="4">
                    <c:v>Birim yöneticilerine ulaşılabilirlikten</c:v>
                  </c:pt>
                  <c:pt idx="5">
                    <c:v>Görev yaptığım birimin bir mensubu olmaktan</c:v>
                  </c:pt>
                  <c:pt idx="6">
                    <c:v>Üniversitemizin bir mensubu olmaktan (Üniversiteye ilişkin genel memnuniyet)</c:v>
                  </c:pt>
                  <c:pt idx="7">
                    <c:v>Binalar ve ofislerin temizliğinden</c:v>
                  </c:pt>
                  <c:pt idx="8">
                    <c:v>Kampüs alanının genel temizliğinden</c:v>
                  </c:pt>
                  <c:pt idx="9">
                    <c:v>Güvenlik tedbirlerinin (yangın, deprem, güvenlik hizmetleri …) yeterliliğinden</c:v>
                  </c:pt>
                  <c:pt idx="10">
                    <c:v>Yemekhane, kafeterya ve kantin hizmetlerinden</c:v>
                  </c:pt>
                  <c:pt idx="11">
                    <c:v>Ofislerin fiziki ve donanımsal (bilgisayar, yazıcı, dolap gibi) yeterliliğinden</c:v>
                  </c:pt>
                  <c:pt idx="12">
                    <c:v>Üniversite üst yönetimine (Rektör, Rektör Yardımcıları) ulaşılabilirlikten</c:v>
                  </c:pt>
                  <c:pt idx="13">
                    <c:v>Servis / ulaşım hizmetlerinden</c:v>
                  </c:pt>
                  <c:pt idx="14">
                    <c:v>Çalışma ortamındaki huzur ve işimi iyi yapabileceğim ortamın sağlanmasından</c:v>
                  </c:pt>
                  <c:pt idx="15">
                    <c:v>İdari personel arasındaki iletişim ve ilişkilerden</c:v>
                  </c:pt>
                  <c:pt idx="16">
                    <c:v>Yapım ve onarım hizmetlerinden</c:v>
                  </c:pt>
                  <c:pt idx="17">
                    <c:v>Sportif faaliyetler ve bu amaçla kurulmuş tesislerden</c:v>
                  </c:pt>
                  <c:pt idx="18">
                    <c:v>Birim Kurul (Yönetim K, Fakülte K, Bölüm K. …) kararlarının şeffaflık ve hesap verilebilirliğinden</c:v>
                  </c:pt>
                  <c:pt idx="19">
                    <c:v>Üniversitemizin vizyon ve misyonundan</c:v>
                  </c:pt>
                  <c:pt idx="20">
                    <c:v>Dış paydaşlarla (kamu kurumları, özel sektör, sivil toplum kuruluşları, halk …) olan ilişkilerden</c:v>
                  </c:pt>
                  <c:pt idx="21">
                    <c:v>Düşünceleri ifade özgürlüğünden</c:v>
                  </c:pt>
                  <c:pt idx="22">
                    <c:v>Üniversitemizin beklentilerinizi karşılama düzeyinden</c:v>
                  </c:pt>
                  <c:pt idx="23">
                    <c:v>Akademik personel ile iletişim ve ilişkilerden</c:v>
                  </c:pt>
                  <c:pt idx="24">
                    <c:v>Üniversitede yürütülen Kalite Güvencesi ve Kalite Geliştirme çabalarından</c:v>
                  </c:pt>
                  <c:pt idx="25">
                    <c:v>Üniversitemizin kurumsallaşma düzeyinden</c:v>
                  </c:pt>
                  <c:pt idx="26">
                    <c:v>Kültür ve sanat etkinlikleri ile bu amaçla kurulmuş tesislerden</c:v>
                  </c:pt>
                  <c:pt idx="27">
                    <c:v>Üniversite’de (ve ilgili birimde) görev yapan idari ve destek personelin niteliğinden</c:v>
                  </c:pt>
                  <c:pt idx="28">
                    <c:v>Senato ve Üniversite Yönetim Kurulu kararlarının şeffaflık ve hesap verilebilirliğinden</c:v>
                  </c:pt>
                  <c:pt idx="29">
                    <c:v>Üniversite’de (ve ilgili birimde) görev yapan idari ve destek personel sayısından</c:v>
                  </c:pt>
                  <c:pt idx="30">
                    <c:v>Sağlık hizmetleri ve bu amaçla kurulmuş tesislerden</c:v>
                  </c:pt>
                  <c:pt idx="31">
                    <c:v>İdari personelin üstleriyle / amirleriyle olan ilişkileri, üst ve alt kademeler arasında sorunların tartışılma olanakları ve geribildirim süreçlerinden</c:v>
                  </c:pt>
                  <c:pt idx="32">
                    <c:v>İdari personeline sunulan hizmet içi eğitim olanaklarından</c:v>
                  </c:pt>
                  <c:pt idx="33">
                    <c:v>Diğer üniversiteler ile olan ilişkilerden</c:v>
                  </c:pt>
                  <c:pt idx="34">
                    <c:v>Üniversitemizin Türkiye’deki diğer üniversiteler içindeki konumundan</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lvl>
              </c:multiLvlStrCache>
            </c:multiLvlStrRef>
          </c:cat>
          <c:val>
            <c:numRef>
              <c:f>'MEMNUNİYETİ YÜKSEK'!$E$6:$E$40</c:f>
              <c:numCache>
                <c:formatCode>0.00</c:formatCode>
                <c:ptCount val="35"/>
                <c:pt idx="0">
                  <c:v>11.97</c:v>
                </c:pt>
                <c:pt idx="1">
                  <c:v>18.559999999999999</c:v>
                </c:pt>
                <c:pt idx="2">
                  <c:v>17.96</c:v>
                </c:pt>
                <c:pt idx="3">
                  <c:v>18.559999999999999</c:v>
                </c:pt>
                <c:pt idx="4">
                  <c:v>14.37</c:v>
                </c:pt>
                <c:pt idx="5">
                  <c:v>15.57</c:v>
                </c:pt>
                <c:pt idx="6">
                  <c:v>16.77</c:v>
                </c:pt>
                <c:pt idx="7">
                  <c:v>13.17</c:v>
                </c:pt>
                <c:pt idx="8">
                  <c:v>14.98</c:v>
                </c:pt>
                <c:pt idx="9">
                  <c:v>23.35</c:v>
                </c:pt>
                <c:pt idx="10">
                  <c:v>16.170000000000002</c:v>
                </c:pt>
                <c:pt idx="11">
                  <c:v>16.170000000000002</c:v>
                </c:pt>
                <c:pt idx="12">
                  <c:v>22.16</c:v>
                </c:pt>
                <c:pt idx="13">
                  <c:v>18.559999999999999</c:v>
                </c:pt>
                <c:pt idx="14">
                  <c:v>14.97</c:v>
                </c:pt>
                <c:pt idx="15">
                  <c:v>20.36</c:v>
                </c:pt>
                <c:pt idx="16">
                  <c:v>20.95</c:v>
                </c:pt>
                <c:pt idx="17">
                  <c:v>32.93</c:v>
                </c:pt>
                <c:pt idx="18">
                  <c:v>27.55</c:v>
                </c:pt>
                <c:pt idx="19">
                  <c:v>29.94</c:v>
                </c:pt>
                <c:pt idx="20">
                  <c:v>33.53</c:v>
                </c:pt>
                <c:pt idx="21">
                  <c:v>22.16</c:v>
                </c:pt>
                <c:pt idx="22">
                  <c:v>20.95</c:v>
                </c:pt>
                <c:pt idx="23">
                  <c:v>26.95</c:v>
                </c:pt>
                <c:pt idx="24">
                  <c:v>34.729999999999997</c:v>
                </c:pt>
                <c:pt idx="25">
                  <c:v>17.37</c:v>
                </c:pt>
                <c:pt idx="26">
                  <c:v>37.130000000000003</c:v>
                </c:pt>
                <c:pt idx="27">
                  <c:v>26.94</c:v>
                </c:pt>
                <c:pt idx="28">
                  <c:v>31.14</c:v>
                </c:pt>
                <c:pt idx="29">
                  <c:v>23.35</c:v>
                </c:pt>
                <c:pt idx="30">
                  <c:v>32.340000000000003</c:v>
                </c:pt>
                <c:pt idx="31">
                  <c:v>26.95</c:v>
                </c:pt>
                <c:pt idx="32">
                  <c:v>20.36</c:v>
                </c:pt>
                <c:pt idx="33">
                  <c:v>48.5</c:v>
                </c:pt>
                <c:pt idx="34">
                  <c:v>29.94</c:v>
                </c:pt>
              </c:numCache>
            </c:numRef>
          </c:val>
          <c:extLst>
            <c:ext xmlns:c16="http://schemas.microsoft.com/office/drawing/2014/chart" uri="{C3380CC4-5D6E-409C-BE32-E72D297353CC}">
              <c16:uniqueId val="{00000001-768E-4E76-8356-169A58AE7195}"/>
            </c:ext>
          </c:extLst>
        </c:ser>
        <c:ser>
          <c:idx val="2"/>
          <c:order val="2"/>
          <c:tx>
            <c:strRef>
              <c:f>'MEMNUNİYETİ YÜKSEK'!$F$4:$F$5</c:f>
              <c:strCache>
                <c:ptCount val="2"/>
                <c:pt idx="0">
                  <c:v>Memnun değilim &amp; Hiç memnun değilim</c:v>
                </c:pt>
                <c:pt idx="1">
                  <c:v>%</c:v>
                </c:pt>
              </c:strCache>
            </c:strRef>
          </c:tx>
          <c:spPr>
            <a:solidFill>
              <a:schemeClr val="accent3"/>
            </a:solidFill>
            <a:ln>
              <a:noFill/>
            </a:ln>
            <a:effectLst/>
            <a:sp3d/>
          </c:spPr>
          <c:invertIfNegative val="0"/>
          <c:cat>
            <c:multiLvlStrRef>
              <c:f>'MEMNUNİYETİ YÜKSEK'!$B$6:$C$40</c:f>
              <c:multiLvlStrCache>
                <c:ptCount val="35"/>
                <c:lvl>
                  <c:pt idx="0">
                    <c:v>Kurum içi iletişim araçlarının (e-posta, duyurular gibi) yeterliliğinden</c:v>
                  </c:pt>
                  <c:pt idx="1">
                    <c:v>İnternet, bilgi işlem ve öğrenci/akademisyen bilgi sistemi hizmetlerinden</c:v>
                  </c:pt>
                  <c:pt idx="2">
                    <c:v>Görev yaptığım birim web sayfasının tasarım ve içeriğinden</c:v>
                  </c:pt>
                  <c:pt idx="3">
                    <c:v>Üniversitemiz web sayfasının tasarım ve içeriğinden</c:v>
                  </c:pt>
                  <c:pt idx="4">
                    <c:v>Birim yöneticilerine ulaşılabilirlikten</c:v>
                  </c:pt>
                  <c:pt idx="5">
                    <c:v>Görev yaptığım birimin bir mensubu olmaktan</c:v>
                  </c:pt>
                  <c:pt idx="6">
                    <c:v>Üniversitemizin bir mensubu olmaktan (Üniversiteye ilişkin genel memnuniyet)</c:v>
                  </c:pt>
                  <c:pt idx="7">
                    <c:v>Binalar ve ofislerin temizliğinden</c:v>
                  </c:pt>
                  <c:pt idx="8">
                    <c:v>Kampüs alanının genel temizliğinden</c:v>
                  </c:pt>
                  <c:pt idx="9">
                    <c:v>Güvenlik tedbirlerinin (yangın, deprem, güvenlik hizmetleri …) yeterliliğinden</c:v>
                  </c:pt>
                  <c:pt idx="10">
                    <c:v>Yemekhane, kafeterya ve kantin hizmetlerinden</c:v>
                  </c:pt>
                  <c:pt idx="11">
                    <c:v>Ofislerin fiziki ve donanımsal (bilgisayar, yazıcı, dolap gibi) yeterliliğinden</c:v>
                  </c:pt>
                  <c:pt idx="12">
                    <c:v>Üniversite üst yönetimine (Rektör, Rektör Yardımcıları) ulaşılabilirlikten</c:v>
                  </c:pt>
                  <c:pt idx="13">
                    <c:v>Servis / ulaşım hizmetlerinden</c:v>
                  </c:pt>
                  <c:pt idx="14">
                    <c:v>Çalışma ortamındaki huzur ve işimi iyi yapabileceğim ortamın sağlanmasından</c:v>
                  </c:pt>
                  <c:pt idx="15">
                    <c:v>İdari personel arasındaki iletişim ve ilişkilerden</c:v>
                  </c:pt>
                  <c:pt idx="16">
                    <c:v>Yapım ve onarım hizmetlerinden</c:v>
                  </c:pt>
                  <c:pt idx="17">
                    <c:v>Sportif faaliyetler ve bu amaçla kurulmuş tesislerden</c:v>
                  </c:pt>
                  <c:pt idx="18">
                    <c:v>Birim Kurul (Yönetim K, Fakülte K, Bölüm K. …) kararlarının şeffaflık ve hesap verilebilirliğinden</c:v>
                  </c:pt>
                  <c:pt idx="19">
                    <c:v>Üniversitemizin vizyon ve misyonundan</c:v>
                  </c:pt>
                  <c:pt idx="20">
                    <c:v>Dış paydaşlarla (kamu kurumları, özel sektör, sivil toplum kuruluşları, halk …) olan ilişkilerden</c:v>
                  </c:pt>
                  <c:pt idx="21">
                    <c:v>Düşünceleri ifade özgürlüğünden</c:v>
                  </c:pt>
                  <c:pt idx="22">
                    <c:v>Üniversitemizin beklentilerinizi karşılama düzeyinden</c:v>
                  </c:pt>
                  <c:pt idx="23">
                    <c:v>Akademik personel ile iletişim ve ilişkilerden</c:v>
                  </c:pt>
                  <c:pt idx="24">
                    <c:v>Üniversitede yürütülen Kalite Güvencesi ve Kalite Geliştirme çabalarından</c:v>
                  </c:pt>
                  <c:pt idx="25">
                    <c:v>Üniversitemizin kurumsallaşma düzeyinden</c:v>
                  </c:pt>
                  <c:pt idx="26">
                    <c:v>Kültür ve sanat etkinlikleri ile bu amaçla kurulmuş tesislerden</c:v>
                  </c:pt>
                  <c:pt idx="27">
                    <c:v>Üniversite’de (ve ilgili birimde) görev yapan idari ve destek personelin niteliğinden</c:v>
                  </c:pt>
                  <c:pt idx="28">
                    <c:v>Senato ve Üniversite Yönetim Kurulu kararlarının şeffaflık ve hesap verilebilirliğinden</c:v>
                  </c:pt>
                  <c:pt idx="29">
                    <c:v>Üniversite’de (ve ilgili birimde) görev yapan idari ve destek personel sayısından</c:v>
                  </c:pt>
                  <c:pt idx="30">
                    <c:v>Sağlık hizmetleri ve bu amaçla kurulmuş tesislerden</c:v>
                  </c:pt>
                  <c:pt idx="31">
                    <c:v>İdari personelin üstleriyle / amirleriyle olan ilişkileri, üst ve alt kademeler arasında sorunların tartışılma olanakları ve geribildirim süreçlerinden</c:v>
                  </c:pt>
                  <c:pt idx="32">
                    <c:v>İdari personeline sunulan hizmet içi eğitim olanaklarından</c:v>
                  </c:pt>
                  <c:pt idx="33">
                    <c:v>Diğer üniversiteler ile olan ilişkilerden</c:v>
                  </c:pt>
                  <c:pt idx="34">
                    <c:v>Üniversitemizin Türkiye’deki diğer üniversiteler içindeki konumundan</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lvl>
              </c:multiLvlStrCache>
            </c:multiLvlStrRef>
          </c:cat>
          <c:val>
            <c:numRef>
              <c:f>'MEMNUNİYETİ YÜKSEK'!$F$6:$F$40</c:f>
              <c:numCache>
                <c:formatCode>0.00</c:formatCode>
                <c:ptCount val="35"/>
                <c:pt idx="0">
                  <c:v>4.2</c:v>
                </c:pt>
                <c:pt idx="1">
                  <c:v>4.1900000000000004</c:v>
                </c:pt>
                <c:pt idx="2">
                  <c:v>5.99</c:v>
                </c:pt>
                <c:pt idx="3">
                  <c:v>7.78</c:v>
                </c:pt>
                <c:pt idx="4">
                  <c:v>11.98</c:v>
                </c:pt>
                <c:pt idx="5">
                  <c:v>14.97</c:v>
                </c:pt>
                <c:pt idx="6">
                  <c:v>14.370000000000001</c:v>
                </c:pt>
                <c:pt idx="7">
                  <c:v>18.559999999999999</c:v>
                </c:pt>
                <c:pt idx="8">
                  <c:v>17.96</c:v>
                </c:pt>
                <c:pt idx="9">
                  <c:v>12.57</c:v>
                </c:pt>
                <c:pt idx="10">
                  <c:v>20.36</c:v>
                </c:pt>
                <c:pt idx="11">
                  <c:v>20.96</c:v>
                </c:pt>
                <c:pt idx="12">
                  <c:v>15.56</c:v>
                </c:pt>
                <c:pt idx="13">
                  <c:v>20.96</c:v>
                </c:pt>
                <c:pt idx="14">
                  <c:v>24.55</c:v>
                </c:pt>
                <c:pt idx="15">
                  <c:v>21.560000000000002</c:v>
                </c:pt>
                <c:pt idx="16">
                  <c:v>25.759999999999998</c:v>
                </c:pt>
                <c:pt idx="17" formatCode="General">
                  <c:v>14.97</c:v>
                </c:pt>
                <c:pt idx="18">
                  <c:v>20.950000000000003</c:v>
                </c:pt>
                <c:pt idx="19">
                  <c:v>20.36</c:v>
                </c:pt>
                <c:pt idx="20">
                  <c:v>17.37</c:v>
                </c:pt>
                <c:pt idx="21">
                  <c:v>29.34</c:v>
                </c:pt>
                <c:pt idx="22">
                  <c:v>31.14</c:v>
                </c:pt>
                <c:pt idx="23">
                  <c:v>25.150000000000002</c:v>
                </c:pt>
                <c:pt idx="24">
                  <c:v>17.96</c:v>
                </c:pt>
                <c:pt idx="25">
                  <c:v>35.33</c:v>
                </c:pt>
                <c:pt idx="26">
                  <c:v>16.760000000000002</c:v>
                </c:pt>
                <c:pt idx="27">
                  <c:v>26.950000000000003</c:v>
                </c:pt>
                <c:pt idx="28">
                  <c:v>22.75</c:v>
                </c:pt>
                <c:pt idx="29">
                  <c:v>31.13</c:v>
                </c:pt>
                <c:pt idx="30">
                  <c:v>22.15</c:v>
                </c:pt>
                <c:pt idx="31">
                  <c:v>28.740000000000002</c:v>
                </c:pt>
                <c:pt idx="32">
                  <c:v>35.33</c:v>
                </c:pt>
                <c:pt idx="33">
                  <c:v>8.379999999999999</c:v>
                </c:pt>
                <c:pt idx="34">
                  <c:v>27.54</c:v>
                </c:pt>
              </c:numCache>
            </c:numRef>
          </c:val>
          <c:extLst>
            <c:ext xmlns:c16="http://schemas.microsoft.com/office/drawing/2014/chart" uri="{C3380CC4-5D6E-409C-BE32-E72D297353CC}">
              <c16:uniqueId val="{00000002-768E-4E76-8356-169A58AE7195}"/>
            </c:ext>
          </c:extLst>
        </c:ser>
        <c:dLbls>
          <c:showLegendKey val="0"/>
          <c:showVal val="0"/>
          <c:showCatName val="0"/>
          <c:showSerName val="0"/>
          <c:showPercent val="0"/>
          <c:showBubbleSize val="0"/>
        </c:dLbls>
        <c:gapWidth val="150"/>
        <c:shape val="box"/>
        <c:axId val="2142533168"/>
        <c:axId val="2142527344"/>
        <c:axId val="0"/>
      </c:bar3DChart>
      <c:catAx>
        <c:axId val="2142533168"/>
        <c:scaling>
          <c:orientation val="minMax"/>
        </c:scaling>
        <c:delete val="0"/>
        <c:axPos val="b"/>
        <c:numFmt formatCode="General" sourceLinked="1"/>
        <c:majorTickMark val="none"/>
        <c:minorTickMark val="none"/>
        <c:tickLblPos val="nextTo"/>
        <c:spPr>
          <a:noFill/>
          <a:ln>
            <a:noFill/>
          </a:ln>
          <a:effectLst/>
        </c:spPr>
        <c:txPr>
          <a:bodyPr rot="-5400000" spcFirstLastPara="1" vertOverflow="ellipsis" wrap="square" anchor="ctr" anchorCtr="0"/>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2142527344"/>
        <c:crosses val="autoZero"/>
        <c:auto val="0"/>
        <c:lblAlgn val="ctr"/>
        <c:lblOffset val="100"/>
        <c:noMultiLvlLbl val="0"/>
      </c:catAx>
      <c:valAx>
        <c:axId val="21425273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2142533168"/>
        <c:crosses val="autoZero"/>
        <c:crossBetween val="between"/>
      </c:valAx>
      <c:spPr>
        <a:gradFill>
          <a:gsLst>
            <a:gs pos="61732">
              <a:schemeClr val="bg1">
                <a:lumMod val="85000"/>
              </a:schemeClr>
            </a:gs>
            <a:gs pos="15643">
              <a:srgbClr val="E6ECF7"/>
            </a:gs>
            <a:gs pos="42624">
              <a:srgbClr val="CBD8EE"/>
            </a:gs>
            <a:gs pos="0">
              <a:schemeClr val="accent1">
                <a:lumMod val="5000"/>
                <a:lumOff val="95000"/>
              </a:schemeClr>
            </a:gs>
            <a:gs pos="28000">
              <a:schemeClr val="accent1">
                <a:lumMod val="45000"/>
                <a:lumOff val="55000"/>
              </a:schemeClr>
            </a:gs>
            <a:gs pos="83000">
              <a:schemeClr val="bg1">
                <a:lumMod val="85000"/>
              </a:schemeClr>
            </a:gs>
            <a:gs pos="100000">
              <a:schemeClr val="accent1">
                <a:lumMod val="30000"/>
                <a:lumOff val="70000"/>
              </a:schemeClr>
            </a:gs>
          </a:gsLst>
          <a:lin ang="5400000" scaled="1"/>
        </a:gradFill>
        <a:ln>
          <a:noFill/>
        </a:ln>
        <a:effectLst/>
      </c:spPr>
    </c:plotArea>
    <c:legend>
      <c:legendPos val="b"/>
      <c:layout>
        <c:manualLayout>
          <c:xMode val="edge"/>
          <c:yMode val="edge"/>
          <c:x val="0.12783359538180566"/>
          <c:y val="0.95449287082357948"/>
          <c:w val="0.73562442556951058"/>
          <c:h val="2.9290818845664094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tr-TR" sz="1200">
                <a:solidFill>
                  <a:sysClr val="windowText" lastClr="000000"/>
                </a:solidFill>
                <a:effectLst/>
                <a:latin typeface="Times New Roman" panose="02020603050405020304" pitchFamily="18" charset="0"/>
                <a:cs typeface="Times New Roman" panose="02020603050405020304" pitchFamily="18" charset="0"/>
              </a:rPr>
              <a:t>İdari Personelin </a:t>
            </a:r>
            <a:r>
              <a:rPr lang="tr-TR" sz="1200" b="1">
                <a:solidFill>
                  <a:sysClr val="windowText" lastClr="000000"/>
                </a:solidFill>
                <a:effectLst/>
                <a:latin typeface="Times New Roman" panose="02020603050405020304" pitchFamily="18" charset="0"/>
                <a:cs typeface="Times New Roman" panose="02020603050405020304" pitchFamily="18" charset="0"/>
              </a:rPr>
              <a:t>Memnuniyetsizliğinin</a:t>
            </a:r>
            <a:r>
              <a:rPr lang="tr-TR" sz="1200">
                <a:solidFill>
                  <a:sysClr val="windowText" lastClr="000000"/>
                </a:solidFill>
                <a:effectLst/>
                <a:latin typeface="Times New Roman" panose="02020603050405020304" pitchFamily="18" charset="0"/>
                <a:cs typeface="Times New Roman" panose="02020603050405020304" pitchFamily="18" charset="0"/>
              </a:rPr>
              <a:t> Yüksek Olduğu Konular </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tr-TR" sz="1200">
                <a:solidFill>
                  <a:sysClr val="windowText" lastClr="000000"/>
                </a:solidFill>
                <a:effectLst/>
                <a:latin typeface="Times New Roman" panose="02020603050405020304" pitchFamily="18" charset="0"/>
                <a:cs typeface="Times New Roman" panose="02020603050405020304" pitchFamily="18" charset="0"/>
              </a:rPr>
              <a:t>Yüzde (%)</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tr-T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tr-TR"/>
        </a:p>
      </c:txPr>
    </c:title>
    <c:autoTitleDeleted val="0"/>
    <c:plotArea>
      <c:layout/>
      <c:barChart>
        <c:barDir val="col"/>
        <c:grouping val="clustered"/>
        <c:varyColors val="0"/>
        <c:ser>
          <c:idx val="0"/>
          <c:order val="0"/>
          <c:tx>
            <c:strRef>
              <c:f>'MEMNUNİYETSİZLİĞİ YÜKSEK'!$D$4:$D$5</c:f>
              <c:strCache>
                <c:ptCount val="2"/>
                <c:pt idx="0">
                  <c:v>Çok memnunum &amp; Memnunum</c:v>
                </c:pt>
                <c:pt idx="1">
                  <c:v>%</c:v>
                </c:pt>
              </c:strCache>
            </c:strRef>
          </c:tx>
          <c:spPr>
            <a:solidFill>
              <a:schemeClr val="accent1"/>
            </a:solidFill>
            <a:ln>
              <a:noFill/>
            </a:ln>
            <a:effectLst/>
          </c:spPr>
          <c:invertIfNegative val="0"/>
          <c:cat>
            <c:multiLvlStrRef>
              <c:f>'MEMNUNİYETSİZLİĞİ YÜKSEK'!$B$6:$C$14</c:f>
              <c:multiLvlStrCache>
                <c:ptCount val="9"/>
                <c:lvl>
                  <c:pt idx="0">
                    <c:v>İdari görevlere seçilme ve yükseltme ölçütlerinden</c:v>
                  </c:pt>
                  <c:pt idx="1">
                    <c:v>İdari kadrolara atanmada mesleki yeterliliğin göz önünde bulundurulmasından</c:v>
                  </c:pt>
                  <c:pt idx="2">
                    <c:v>Görev, yetki ve sorumluluk dağılımdaki adaletten</c:v>
                  </c:pt>
                  <c:pt idx="3">
                    <c:v>Fazla mesai ücreti ödemelerinin zamanlamasından</c:v>
                  </c:pt>
                  <c:pt idx="4">
                    <c:v>Ödüllendirme sisteminden</c:v>
                  </c:pt>
                  <c:pt idx="5">
                    <c:v>Yönetsel kararlara katılım ve idari uygulamalardaki adillikten</c:v>
                  </c:pt>
                  <c:pt idx="6">
                    <c:v>Ünvan ve kadro uyumundan (uzmanlık alanı ile görev yapılan birim arasındaki uygunluk)</c:v>
                  </c:pt>
                  <c:pt idx="7">
                    <c:v>Üniversitemizin kurumsallaşma düzeyinden</c:v>
                  </c:pt>
                  <c:pt idx="8">
                    <c:v>İdari personeline sunulan hizmet içi eğitim olanaklarından</c:v>
                  </c:pt>
                </c:lvl>
                <c:lvl>
                  <c:pt idx="0">
                    <c:v>1</c:v>
                  </c:pt>
                  <c:pt idx="1">
                    <c:v>2</c:v>
                  </c:pt>
                  <c:pt idx="2">
                    <c:v>3</c:v>
                  </c:pt>
                  <c:pt idx="3">
                    <c:v>4</c:v>
                  </c:pt>
                  <c:pt idx="4">
                    <c:v>5</c:v>
                  </c:pt>
                  <c:pt idx="5">
                    <c:v>6</c:v>
                  </c:pt>
                  <c:pt idx="6">
                    <c:v>7</c:v>
                  </c:pt>
                  <c:pt idx="7">
                    <c:v>8</c:v>
                  </c:pt>
                  <c:pt idx="8">
                    <c:v>9</c:v>
                  </c:pt>
                </c:lvl>
              </c:multiLvlStrCache>
            </c:multiLvlStrRef>
          </c:cat>
          <c:val>
            <c:numRef>
              <c:f>'MEMNUNİYETSİZLİĞİ YÜKSEK'!$D$6:$D$14</c:f>
              <c:numCache>
                <c:formatCode>0.00</c:formatCode>
                <c:ptCount val="9"/>
                <c:pt idx="0">
                  <c:v>28.740000000000002</c:v>
                </c:pt>
                <c:pt idx="1">
                  <c:v>31.14</c:v>
                </c:pt>
                <c:pt idx="2">
                  <c:v>35.93</c:v>
                </c:pt>
                <c:pt idx="3">
                  <c:v>22.150000000000002</c:v>
                </c:pt>
                <c:pt idx="4">
                  <c:v>23.95</c:v>
                </c:pt>
                <c:pt idx="5">
                  <c:v>35.93</c:v>
                </c:pt>
                <c:pt idx="6">
                  <c:v>37.729999999999997</c:v>
                </c:pt>
                <c:pt idx="7">
                  <c:v>47.3</c:v>
                </c:pt>
                <c:pt idx="8">
                  <c:v>44.31</c:v>
                </c:pt>
              </c:numCache>
            </c:numRef>
          </c:val>
          <c:extLst>
            <c:ext xmlns:c16="http://schemas.microsoft.com/office/drawing/2014/chart" uri="{C3380CC4-5D6E-409C-BE32-E72D297353CC}">
              <c16:uniqueId val="{00000000-6CED-4239-83A2-C1559920E11C}"/>
            </c:ext>
          </c:extLst>
        </c:ser>
        <c:ser>
          <c:idx val="1"/>
          <c:order val="1"/>
          <c:tx>
            <c:strRef>
              <c:f>'MEMNUNİYETSİZLİĞİ YÜKSEK'!$E$4:$E$5</c:f>
              <c:strCache>
                <c:ptCount val="2"/>
                <c:pt idx="0">
                  <c:v>Kararsızım</c:v>
                </c:pt>
                <c:pt idx="1">
                  <c:v>%</c:v>
                </c:pt>
              </c:strCache>
            </c:strRef>
          </c:tx>
          <c:spPr>
            <a:solidFill>
              <a:schemeClr val="accent2"/>
            </a:solidFill>
            <a:ln>
              <a:noFill/>
            </a:ln>
            <a:effectLst/>
          </c:spPr>
          <c:invertIfNegative val="0"/>
          <c:cat>
            <c:multiLvlStrRef>
              <c:f>'MEMNUNİYETSİZLİĞİ YÜKSEK'!$B$6:$C$14</c:f>
              <c:multiLvlStrCache>
                <c:ptCount val="9"/>
                <c:lvl>
                  <c:pt idx="0">
                    <c:v>İdari görevlere seçilme ve yükseltme ölçütlerinden</c:v>
                  </c:pt>
                  <c:pt idx="1">
                    <c:v>İdari kadrolara atanmada mesleki yeterliliğin göz önünde bulundurulmasından</c:v>
                  </c:pt>
                  <c:pt idx="2">
                    <c:v>Görev, yetki ve sorumluluk dağılımdaki adaletten</c:v>
                  </c:pt>
                  <c:pt idx="3">
                    <c:v>Fazla mesai ücreti ödemelerinin zamanlamasından</c:v>
                  </c:pt>
                  <c:pt idx="4">
                    <c:v>Ödüllendirme sisteminden</c:v>
                  </c:pt>
                  <c:pt idx="5">
                    <c:v>Yönetsel kararlara katılım ve idari uygulamalardaki adillikten</c:v>
                  </c:pt>
                  <c:pt idx="6">
                    <c:v>Ünvan ve kadro uyumundan (uzmanlık alanı ile görev yapılan birim arasındaki uygunluk)</c:v>
                  </c:pt>
                  <c:pt idx="7">
                    <c:v>Üniversitemizin kurumsallaşma düzeyinden</c:v>
                  </c:pt>
                  <c:pt idx="8">
                    <c:v>İdari personeline sunulan hizmet içi eğitim olanaklarından</c:v>
                  </c:pt>
                </c:lvl>
                <c:lvl>
                  <c:pt idx="0">
                    <c:v>1</c:v>
                  </c:pt>
                  <c:pt idx="1">
                    <c:v>2</c:v>
                  </c:pt>
                  <c:pt idx="2">
                    <c:v>3</c:v>
                  </c:pt>
                  <c:pt idx="3">
                    <c:v>4</c:v>
                  </c:pt>
                  <c:pt idx="4">
                    <c:v>5</c:v>
                  </c:pt>
                  <c:pt idx="5">
                    <c:v>6</c:v>
                  </c:pt>
                  <c:pt idx="6">
                    <c:v>7</c:v>
                  </c:pt>
                  <c:pt idx="7">
                    <c:v>8</c:v>
                  </c:pt>
                  <c:pt idx="8">
                    <c:v>9</c:v>
                  </c:pt>
                </c:lvl>
              </c:multiLvlStrCache>
            </c:multiLvlStrRef>
          </c:cat>
          <c:val>
            <c:numRef>
              <c:f>'MEMNUNİYETSİZLİĞİ YÜKSEK'!$E$6:$E$14</c:f>
              <c:numCache>
                <c:formatCode>0.00</c:formatCode>
                <c:ptCount val="9"/>
                <c:pt idx="0">
                  <c:v>19.170000000000002</c:v>
                </c:pt>
                <c:pt idx="1">
                  <c:v>17.96</c:v>
                </c:pt>
                <c:pt idx="2">
                  <c:v>17.37</c:v>
                </c:pt>
                <c:pt idx="3">
                  <c:v>31.74</c:v>
                </c:pt>
                <c:pt idx="4">
                  <c:v>31.74</c:v>
                </c:pt>
                <c:pt idx="5">
                  <c:v>20.36</c:v>
                </c:pt>
                <c:pt idx="6">
                  <c:v>26.35</c:v>
                </c:pt>
                <c:pt idx="7">
                  <c:v>17.37</c:v>
                </c:pt>
                <c:pt idx="8">
                  <c:v>20.36</c:v>
                </c:pt>
              </c:numCache>
            </c:numRef>
          </c:val>
          <c:extLst>
            <c:ext xmlns:c16="http://schemas.microsoft.com/office/drawing/2014/chart" uri="{C3380CC4-5D6E-409C-BE32-E72D297353CC}">
              <c16:uniqueId val="{00000001-6CED-4239-83A2-C1559920E11C}"/>
            </c:ext>
          </c:extLst>
        </c:ser>
        <c:ser>
          <c:idx val="2"/>
          <c:order val="2"/>
          <c:tx>
            <c:strRef>
              <c:f>'MEMNUNİYETSİZLİĞİ YÜKSEK'!$F$4:$F$5</c:f>
              <c:strCache>
                <c:ptCount val="2"/>
                <c:pt idx="0">
                  <c:v>Memnun değilim &amp; Hiç memnun değilim</c:v>
                </c:pt>
                <c:pt idx="1">
                  <c:v>%</c:v>
                </c:pt>
              </c:strCache>
            </c:strRef>
          </c:tx>
          <c:spPr>
            <a:solidFill>
              <a:schemeClr val="accent3"/>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extLst>
                <c:ext xmlns:c16="http://schemas.microsoft.com/office/drawing/2014/chart" uri="{C3380CC4-5D6E-409C-BE32-E72D297353CC}">
                  <c16:uniqueId val="{00000003-6CED-4239-83A2-C1559920E11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'MEMNUNİYETSİZLİĞİ YÜKSEK'!$B$6:$C$14</c:f>
              <c:multiLvlStrCache>
                <c:ptCount val="9"/>
                <c:lvl>
                  <c:pt idx="0">
                    <c:v>İdari görevlere seçilme ve yükseltme ölçütlerinden</c:v>
                  </c:pt>
                  <c:pt idx="1">
                    <c:v>İdari kadrolara atanmada mesleki yeterliliğin göz önünde bulundurulmasından</c:v>
                  </c:pt>
                  <c:pt idx="2">
                    <c:v>Görev, yetki ve sorumluluk dağılımdaki adaletten</c:v>
                  </c:pt>
                  <c:pt idx="3">
                    <c:v>Fazla mesai ücreti ödemelerinin zamanlamasından</c:v>
                  </c:pt>
                  <c:pt idx="4">
                    <c:v>Ödüllendirme sisteminden</c:v>
                  </c:pt>
                  <c:pt idx="5">
                    <c:v>Yönetsel kararlara katılım ve idari uygulamalardaki adillikten</c:v>
                  </c:pt>
                  <c:pt idx="6">
                    <c:v>Ünvan ve kadro uyumundan (uzmanlık alanı ile görev yapılan birim arasındaki uygunluk)</c:v>
                  </c:pt>
                  <c:pt idx="7">
                    <c:v>Üniversitemizin kurumsallaşma düzeyinden</c:v>
                  </c:pt>
                  <c:pt idx="8">
                    <c:v>İdari personeline sunulan hizmet içi eğitim olanaklarından</c:v>
                  </c:pt>
                </c:lvl>
                <c:lvl>
                  <c:pt idx="0">
                    <c:v>1</c:v>
                  </c:pt>
                  <c:pt idx="1">
                    <c:v>2</c:v>
                  </c:pt>
                  <c:pt idx="2">
                    <c:v>3</c:v>
                  </c:pt>
                  <c:pt idx="3">
                    <c:v>4</c:v>
                  </c:pt>
                  <c:pt idx="4">
                    <c:v>5</c:v>
                  </c:pt>
                  <c:pt idx="5">
                    <c:v>6</c:v>
                  </c:pt>
                  <c:pt idx="6">
                    <c:v>7</c:v>
                  </c:pt>
                  <c:pt idx="7">
                    <c:v>8</c:v>
                  </c:pt>
                  <c:pt idx="8">
                    <c:v>9</c:v>
                  </c:pt>
                </c:lvl>
              </c:multiLvlStrCache>
            </c:multiLvlStrRef>
          </c:cat>
          <c:val>
            <c:numRef>
              <c:f>'MEMNUNİYETSİZLİĞİ YÜKSEK'!$F$6:$F$14</c:f>
              <c:numCache>
                <c:formatCode>0.00</c:formatCode>
                <c:ptCount val="9"/>
                <c:pt idx="0">
                  <c:v>52.09</c:v>
                </c:pt>
                <c:pt idx="1">
                  <c:v>50.900000000000006</c:v>
                </c:pt>
                <c:pt idx="2">
                  <c:v>46.7</c:v>
                </c:pt>
                <c:pt idx="3">
                  <c:v>46.11</c:v>
                </c:pt>
                <c:pt idx="4">
                  <c:v>44.31</c:v>
                </c:pt>
                <c:pt idx="5">
                  <c:v>43.71</c:v>
                </c:pt>
                <c:pt idx="6">
                  <c:v>35.92</c:v>
                </c:pt>
                <c:pt idx="7">
                  <c:v>35.33</c:v>
                </c:pt>
                <c:pt idx="8">
                  <c:v>35.33</c:v>
                </c:pt>
              </c:numCache>
            </c:numRef>
          </c:val>
          <c:extLst>
            <c:ext xmlns:c16="http://schemas.microsoft.com/office/drawing/2014/chart" uri="{C3380CC4-5D6E-409C-BE32-E72D297353CC}">
              <c16:uniqueId val="{00000002-6CED-4239-83A2-C1559920E11C}"/>
            </c:ext>
          </c:extLst>
        </c:ser>
        <c:dLbls>
          <c:showLegendKey val="0"/>
          <c:showVal val="0"/>
          <c:showCatName val="0"/>
          <c:showSerName val="0"/>
          <c:showPercent val="0"/>
          <c:showBubbleSize val="0"/>
        </c:dLbls>
        <c:gapWidth val="219"/>
        <c:overlap val="-27"/>
        <c:axId val="1676691199"/>
        <c:axId val="1676692031"/>
      </c:barChart>
      <c:catAx>
        <c:axId val="16766911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676692031"/>
        <c:crosses val="autoZero"/>
        <c:auto val="1"/>
        <c:lblAlgn val="ctr"/>
        <c:lblOffset val="100"/>
        <c:noMultiLvlLbl val="0"/>
      </c:catAx>
      <c:valAx>
        <c:axId val="167669203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6766911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tr-TR" sz="1400" b="0" i="0" u="none" strike="noStrike" baseline="0">
                <a:effectLst/>
              </a:rPr>
              <a:t>İdari Personelin </a:t>
            </a:r>
            <a:r>
              <a:rPr lang="tr-TR" sz="1400" b="1" i="0" u="none" strike="noStrike" baseline="0">
                <a:effectLst/>
              </a:rPr>
              <a:t>Kararsızlığının</a:t>
            </a:r>
            <a:r>
              <a:rPr lang="tr-TR" sz="1400" b="0" i="0" u="none" strike="noStrike" baseline="0">
                <a:effectLst/>
              </a:rPr>
              <a:t> Yüksek Olduğu Konular Yüzde (%)</a:t>
            </a:r>
            <a:endParaRPr lang="tr-TR">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7462221773758616"/>
          <c:y val="1.792114695340501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title>
    <c:autoTitleDeleted val="0"/>
    <c:plotArea>
      <c:layout>
        <c:manualLayout>
          <c:layoutTarget val="inner"/>
          <c:xMode val="edge"/>
          <c:yMode val="edge"/>
          <c:x val="6.0814541355110108E-2"/>
          <c:y val="8.1150949758345511E-2"/>
          <c:w val="0.91974224167626417"/>
          <c:h val="0.50501602327246475"/>
        </c:manualLayout>
      </c:layout>
      <c:barChart>
        <c:barDir val="col"/>
        <c:grouping val="clustered"/>
        <c:varyColors val="0"/>
        <c:ser>
          <c:idx val="0"/>
          <c:order val="0"/>
          <c:tx>
            <c:strRef>
              <c:f>KARARSIZLIK!$D$4:$D$5</c:f>
              <c:strCache>
                <c:ptCount val="2"/>
                <c:pt idx="0">
                  <c:v>Çok memnunum &amp; Memnunum</c:v>
                </c:pt>
                <c:pt idx="1">
                  <c:v>%</c:v>
                </c:pt>
              </c:strCache>
            </c:strRef>
          </c:tx>
          <c:spPr>
            <a:solidFill>
              <a:schemeClr val="accent1"/>
            </a:solidFill>
            <a:ln>
              <a:noFill/>
            </a:ln>
            <a:effectLst/>
          </c:spPr>
          <c:invertIfNegative val="0"/>
          <c:cat>
            <c:multiLvlStrRef>
              <c:f>KARARSIZLIK!$B$6:$C$12</c:f>
              <c:multiLvlStrCache>
                <c:ptCount val="7"/>
                <c:lvl>
                  <c:pt idx="0">
                    <c:v>Yurtiçi ve yurtdışı değişim programlarının (Erasmus, Mevlana gibi) yeterliliğinden </c:v>
                  </c:pt>
                  <c:pt idx="1">
                    <c:v>Diğer üniversiteler ile olan ilişkilerden</c:v>
                  </c:pt>
                  <c:pt idx="2">
                    <c:v>Kültür ve sanat etkinlikleri ile bu amaçla kurulmuş tesislerden</c:v>
                  </c:pt>
                  <c:pt idx="3">
                    <c:v>Üniversitede yürütülen Kalite Güvencesi ve Kalite Geliştirme çabalarından</c:v>
                  </c:pt>
                  <c:pt idx="4">
                    <c:v>Dış paydaşlarla (kamu kurumları, özel sektör, sivil toplum kuruluşları, halk …) olan ilişkilerden</c:v>
                  </c:pt>
                  <c:pt idx="5">
                    <c:v>Sportif faaliyetler ve bu amaçla kurulmuş tesislerden</c:v>
                  </c:pt>
                  <c:pt idx="6">
                    <c:v>Sağlık hizmetleri ve bu amaçla kurulmuş tesislerden</c:v>
                  </c:pt>
                </c:lvl>
                <c:lvl>
                  <c:pt idx="0">
                    <c:v>1</c:v>
                  </c:pt>
                  <c:pt idx="1">
                    <c:v>2</c:v>
                  </c:pt>
                  <c:pt idx="2">
                    <c:v>3</c:v>
                  </c:pt>
                  <c:pt idx="3">
                    <c:v>4</c:v>
                  </c:pt>
                  <c:pt idx="4">
                    <c:v>5</c:v>
                  </c:pt>
                  <c:pt idx="5">
                    <c:v>6</c:v>
                  </c:pt>
                  <c:pt idx="6">
                    <c:v>7</c:v>
                  </c:pt>
                </c:lvl>
              </c:multiLvlStrCache>
            </c:multiLvlStrRef>
          </c:cat>
          <c:val>
            <c:numRef>
              <c:f>KARARSIZLIK!$D$6:$D$12</c:f>
              <c:numCache>
                <c:formatCode>0.00</c:formatCode>
                <c:ptCount val="7"/>
                <c:pt idx="0">
                  <c:v>39.519999999999996</c:v>
                </c:pt>
                <c:pt idx="1">
                  <c:v>43.12</c:v>
                </c:pt>
                <c:pt idx="2">
                  <c:v>46.11</c:v>
                </c:pt>
                <c:pt idx="3">
                  <c:v>47.309999999999995</c:v>
                </c:pt>
                <c:pt idx="4">
                  <c:v>49.1</c:v>
                </c:pt>
                <c:pt idx="5">
                  <c:v>52.099999999999994</c:v>
                </c:pt>
                <c:pt idx="6">
                  <c:v>45.510000000000005</c:v>
                </c:pt>
              </c:numCache>
            </c:numRef>
          </c:val>
          <c:extLst>
            <c:ext xmlns:c16="http://schemas.microsoft.com/office/drawing/2014/chart" uri="{C3380CC4-5D6E-409C-BE32-E72D297353CC}">
              <c16:uniqueId val="{00000000-C7FC-47D4-95E6-0BC111A141AA}"/>
            </c:ext>
          </c:extLst>
        </c:ser>
        <c:ser>
          <c:idx val="1"/>
          <c:order val="1"/>
          <c:tx>
            <c:strRef>
              <c:f>KARARSIZLIK!$E$4:$E$5</c:f>
              <c:strCache>
                <c:ptCount val="2"/>
                <c:pt idx="0">
                  <c:v>Kararsızım</c:v>
                </c:pt>
                <c:pt idx="1">
                  <c:v>%</c:v>
                </c:pt>
              </c:strCache>
            </c:strRef>
          </c:tx>
          <c:spPr>
            <a:solidFill>
              <a:schemeClr val="accent2"/>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extLst>
                <c:ext xmlns:c16="http://schemas.microsoft.com/office/drawing/2014/chart" uri="{C3380CC4-5D6E-409C-BE32-E72D297353CC}">
                  <c16:uniqueId val="{00000001-C7FC-47D4-95E6-0BC111A141A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KARARSIZLIK!$B$6:$C$12</c:f>
              <c:multiLvlStrCache>
                <c:ptCount val="7"/>
                <c:lvl>
                  <c:pt idx="0">
                    <c:v>Yurtiçi ve yurtdışı değişim programlarının (Erasmus, Mevlana gibi) yeterliliğinden </c:v>
                  </c:pt>
                  <c:pt idx="1">
                    <c:v>Diğer üniversiteler ile olan ilişkilerden</c:v>
                  </c:pt>
                  <c:pt idx="2">
                    <c:v>Kültür ve sanat etkinlikleri ile bu amaçla kurulmuş tesislerden</c:v>
                  </c:pt>
                  <c:pt idx="3">
                    <c:v>Üniversitede yürütülen Kalite Güvencesi ve Kalite Geliştirme çabalarından</c:v>
                  </c:pt>
                  <c:pt idx="4">
                    <c:v>Dış paydaşlarla (kamu kurumları, özel sektör, sivil toplum kuruluşları, halk …) olan ilişkilerden</c:v>
                  </c:pt>
                  <c:pt idx="5">
                    <c:v>Sportif faaliyetler ve bu amaçla kurulmuş tesislerden</c:v>
                  </c:pt>
                  <c:pt idx="6">
                    <c:v>Sağlık hizmetleri ve bu amaçla kurulmuş tesislerden</c:v>
                  </c:pt>
                </c:lvl>
                <c:lvl>
                  <c:pt idx="0">
                    <c:v>1</c:v>
                  </c:pt>
                  <c:pt idx="1">
                    <c:v>2</c:v>
                  </c:pt>
                  <c:pt idx="2">
                    <c:v>3</c:v>
                  </c:pt>
                  <c:pt idx="3">
                    <c:v>4</c:v>
                  </c:pt>
                  <c:pt idx="4">
                    <c:v>5</c:v>
                  </c:pt>
                  <c:pt idx="5">
                    <c:v>6</c:v>
                  </c:pt>
                  <c:pt idx="6">
                    <c:v>7</c:v>
                  </c:pt>
                </c:lvl>
              </c:multiLvlStrCache>
            </c:multiLvlStrRef>
          </c:cat>
          <c:val>
            <c:numRef>
              <c:f>KARARSIZLIK!$E$6:$E$12</c:f>
              <c:numCache>
                <c:formatCode>0.00</c:formatCode>
                <c:ptCount val="7"/>
                <c:pt idx="0">
                  <c:v>52.1</c:v>
                </c:pt>
                <c:pt idx="1">
                  <c:v>48.5</c:v>
                </c:pt>
                <c:pt idx="2">
                  <c:v>37.130000000000003</c:v>
                </c:pt>
                <c:pt idx="3">
                  <c:v>34.729999999999997</c:v>
                </c:pt>
                <c:pt idx="4">
                  <c:v>33.53</c:v>
                </c:pt>
                <c:pt idx="5">
                  <c:v>32.93</c:v>
                </c:pt>
                <c:pt idx="6">
                  <c:v>32.340000000000003</c:v>
                </c:pt>
              </c:numCache>
            </c:numRef>
          </c:val>
          <c:extLst>
            <c:ext xmlns:c16="http://schemas.microsoft.com/office/drawing/2014/chart" uri="{C3380CC4-5D6E-409C-BE32-E72D297353CC}">
              <c16:uniqueId val="{00000002-C7FC-47D4-95E6-0BC111A141AA}"/>
            </c:ext>
          </c:extLst>
        </c:ser>
        <c:ser>
          <c:idx val="2"/>
          <c:order val="2"/>
          <c:tx>
            <c:strRef>
              <c:f>KARARSIZLIK!$F$4:$F$5</c:f>
              <c:strCache>
                <c:ptCount val="2"/>
                <c:pt idx="0">
                  <c:v>Memnun değilim &amp; Hiç memnun değilim</c:v>
                </c:pt>
                <c:pt idx="1">
                  <c:v>%</c:v>
                </c:pt>
              </c:strCache>
            </c:strRef>
          </c:tx>
          <c:spPr>
            <a:solidFill>
              <a:schemeClr val="accent3"/>
            </a:solidFill>
            <a:ln>
              <a:noFill/>
            </a:ln>
            <a:effectLst/>
          </c:spPr>
          <c:invertIfNegative val="0"/>
          <c:cat>
            <c:multiLvlStrRef>
              <c:f>KARARSIZLIK!$B$6:$C$12</c:f>
              <c:multiLvlStrCache>
                <c:ptCount val="7"/>
                <c:lvl>
                  <c:pt idx="0">
                    <c:v>Yurtiçi ve yurtdışı değişim programlarının (Erasmus, Mevlana gibi) yeterliliğinden </c:v>
                  </c:pt>
                  <c:pt idx="1">
                    <c:v>Diğer üniversiteler ile olan ilişkilerden</c:v>
                  </c:pt>
                  <c:pt idx="2">
                    <c:v>Kültür ve sanat etkinlikleri ile bu amaçla kurulmuş tesislerden</c:v>
                  </c:pt>
                  <c:pt idx="3">
                    <c:v>Üniversitede yürütülen Kalite Güvencesi ve Kalite Geliştirme çabalarından</c:v>
                  </c:pt>
                  <c:pt idx="4">
                    <c:v>Dış paydaşlarla (kamu kurumları, özel sektör, sivil toplum kuruluşları, halk …) olan ilişkilerden</c:v>
                  </c:pt>
                  <c:pt idx="5">
                    <c:v>Sportif faaliyetler ve bu amaçla kurulmuş tesislerden</c:v>
                  </c:pt>
                  <c:pt idx="6">
                    <c:v>Sağlık hizmetleri ve bu amaçla kurulmuş tesislerden</c:v>
                  </c:pt>
                </c:lvl>
                <c:lvl>
                  <c:pt idx="0">
                    <c:v>1</c:v>
                  </c:pt>
                  <c:pt idx="1">
                    <c:v>2</c:v>
                  </c:pt>
                  <c:pt idx="2">
                    <c:v>3</c:v>
                  </c:pt>
                  <c:pt idx="3">
                    <c:v>4</c:v>
                  </c:pt>
                  <c:pt idx="4">
                    <c:v>5</c:v>
                  </c:pt>
                  <c:pt idx="5">
                    <c:v>6</c:v>
                  </c:pt>
                  <c:pt idx="6">
                    <c:v>7</c:v>
                  </c:pt>
                </c:lvl>
              </c:multiLvlStrCache>
            </c:multiLvlStrRef>
          </c:cat>
          <c:val>
            <c:numRef>
              <c:f>KARARSIZLIK!$F$6:$F$12</c:f>
              <c:numCache>
                <c:formatCode>0.00</c:formatCode>
                <c:ptCount val="7"/>
                <c:pt idx="0">
                  <c:v>8.3800000000000008</c:v>
                </c:pt>
                <c:pt idx="1">
                  <c:v>8.379999999999999</c:v>
                </c:pt>
                <c:pt idx="2">
                  <c:v>16.760000000000002</c:v>
                </c:pt>
                <c:pt idx="3">
                  <c:v>17.96</c:v>
                </c:pt>
                <c:pt idx="4">
                  <c:v>17.37</c:v>
                </c:pt>
                <c:pt idx="5" formatCode="General">
                  <c:v>14.97</c:v>
                </c:pt>
                <c:pt idx="6">
                  <c:v>22.15</c:v>
                </c:pt>
              </c:numCache>
            </c:numRef>
          </c:val>
          <c:extLst>
            <c:ext xmlns:c16="http://schemas.microsoft.com/office/drawing/2014/chart" uri="{C3380CC4-5D6E-409C-BE32-E72D297353CC}">
              <c16:uniqueId val="{00000003-C7FC-47D4-95E6-0BC111A141AA}"/>
            </c:ext>
          </c:extLst>
        </c:ser>
        <c:dLbls>
          <c:showLegendKey val="0"/>
          <c:showVal val="0"/>
          <c:showCatName val="0"/>
          <c:showSerName val="0"/>
          <c:showPercent val="0"/>
          <c:showBubbleSize val="0"/>
        </c:dLbls>
        <c:gapWidth val="219"/>
        <c:overlap val="-27"/>
        <c:axId val="1682267967"/>
        <c:axId val="1682260063"/>
      </c:barChart>
      <c:catAx>
        <c:axId val="16822679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682260063"/>
        <c:crosses val="autoZero"/>
        <c:auto val="1"/>
        <c:lblAlgn val="ctr"/>
        <c:lblOffset val="100"/>
        <c:noMultiLvlLbl val="0"/>
      </c:catAx>
      <c:valAx>
        <c:axId val="168226006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682267967"/>
        <c:crosses val="autoZero"/>
        <c:crossBetween val="between"/>
      </c:valAx>
      <c:spPr>
        <a:noFill/>
        <a:ln>
          <a:noFill/>
        </a:ln>
        <a:effectLst/>
      </c:spPr>
    </c:plotArea>
    <c:legend>
      <c:legendPos val="b"/>
      <c:layout>
        <c:manualLayout>
          <c:xMode val="edge"/>
          <c:yMode val="edge"/>
          <c:x val="0.11245834217695833"/>
          <c:y val="0.86542575175742686"/>
          <c:w val="0.76801291575185893"/>
          <c:h val="3.5664503384755901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0E528-4C6B-4705-A4A7-F7424738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Pages>
  <Words>1430</Words>
  <Characters>8153</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cevat</dc:creator>
  <cp:lastModifiedBy>Aidata</cp:lastModifiedBy>
  <cp:revision>246</cp:revision>
  <dcterms:created xsi:type="dcterms:W3CDTF">2023-01-19T11:02:00Z</dcterms:created>
  <dcterms:modified xsi:type="dcterms:W3CDTF">2023-01-24T13:58:00Z</dcterms:modified>
</cp:coreProperties>
</file>