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3C" w:rsidRPr="00FA61E2" w:rsidRDefault="006D553C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A61E2">
        <w:rPr>
          <w:rFonts w:ascii="Times New Roman" w:hAnsi="Times New Roman" w:cs="Times New Roman"/>
          <w:b/>
          <w:sz w:val="20"/>
          <w:szCs w:val="20"/>
        </w:rPr>
        <w:t>T.C.</w:t>
      </w:r>
    </w:p>
    <w:p w:rsidR="006D553C" w:rsidRPr="00FA61E2" w:rsidRDefault="00957A20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1E2">
        <w:rPr>
          <w:rFonts w:ascii="Times New Roman" w:hAnsi="Times New Roman" w:cs="Times New Roman"/>
          <w:b/>
          <w:sz w:val="20"/>
          <w:szCs w:val="20"/>
        </w:rPr>
        <w:t xml:space="preserve">KÜTAHYA </w:t>
      </w:r>
      <w:r w:rsidR="006D553C" w:rsidRPr="00FA61E2">
        <w:rPr>
          <w:rFonts w:ascii="Times New Roman" w:hAnsi="Times New Roman" w:cs="Times New Roman"/>
          <w:b/>
          <w:sz w:val="20"/>
          <w:szCs w:val="20"/>
        </w:rPr>
        <w:t>DUMLUPINAR ÜNİVERSİTESİ</w:t>
      </w:r>
    </w:p>
    <w:p w:rsidR="007E19E1" w:rsidRPr="00FA61E2" w:rsidRDefault="00957A20" w:rsidP="00941735">
      <w:pPr>
        <w:spacing w:after="0" w:line="276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1E2">
        <w:rPr>
          <w:rFonts w:ascii="Times New Roman" w:hAnsi="Times New Roman" w:cs="Times New Roman"/>
          <w:b/>
          <w:sz w:val="20"/>
          <w:szCs w:val="20"/>
        </w:rPr>
        <w:t xml:space="preserve">2020-2021 Akademik Yılı </w:t>
      </w:r>
      <w:r w:rsidR="00824D41">
        <w:rPr>
          <w:rFonts w:ascii="Times New Roman" w:hAnsi="Times New Roman" w:cs="Times New Roman"/>
          <w:b/>
          <w:sz w:val="20"/>
          <w:szCs w:val="20"/>
        </w:rPr>
        <w:t>Akademik</w:t>
      </w:r>
      <w:r w:rsidR="00FC0ACD" w:rsidRPr="00FA61E2">
        <w:rPr>
          <w:rFonts w:ascii="Times New Roman" w:hAnsi="Times New Roman" w:cs="Times New Roman"/>
          <w:b/>
          <w:sz w:val="20"/>
          <w:szCs w:val="20"/>
        </w:rPr>
        <w:t xml:space="preserve"> Personel</w:t>
      </w:r>
      <w:r w:rsidRPr="00FA61E2">
        <w:rPr>
          <w:rFonts w:ascii="Times New Roman" w:hAnsi="Times New Roman" w:cs="Times New Roman"/>
          <w:b/>
          <w:sz w:val="20"/>
          <w:szCs w:val="20"/>
        </w:rPr>
        <w:t xml:space="preserve"> Memnuniyet Analiz</w:t>
      </w:r>
      <w:r w:rsidR="005E6F72" w:rsidRPr="00FA61E2">
        <w:rPr>
          <w:rFonts w:ascii="Times New Roman" w:hAnsi="Times New Roman" w:cs="Times New Roman"/>
          <w:b/>
          <w:sz w:val="20"/>
          <w:szCs w:val="20"/>
        </w:rPr>
        <w:t>i</w:t>
      </w:r>
    </w:p>
    <w:p w:rsidR="00DE17C7" w:rsidRPr="00941735" w:rsidRDefault="00957A20" w:rsidP="00941735">
      <w:pPr>
        <w:spacing w:before="60" w:after="60" w:line="240" w:lineRule="auto"/>
        <w:ind w:lef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7A20">
        <w:rPr>
          <w:rFonts w:ascii="Times New Roman" w:hAnsi="Times New Roman" w:cs="Times New Roman"/>
          <w:sz w:val="20"/>
          <w:szCs w:val="20"/>
        </w:rPr>
        <w:t xml:space="preserve">2020-2021 Akademik Yılı itibariyle, Kütahya Dumlupınar Üniversitesi’nin farklı birimlerinde toplam </w:t>
      </w:r>
      <w:r w:rsidRPr="00824D41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824D41">
        <w:rPr>
          <w:rFonts w:ascii="Times New Roman" w:hAnsi="Times New Roman" w:cs="Times New Roman"/>
          <w:sz w:val="20"/>
          <w:szCs w:val="20"/>
        </w:rPr>
        <w:t xml:space="preserve"> akademik</w:t>
      </w:r>
      <w:r w:rsidRPr="00957A20">
        <w:rPr>
          <w:rFonts w:ascii="Times New Roman" w:hAnsi="Times New Roman" w:cs="Times New Roman"/>
          <w:sz w:val="20"/>
          <w:szCs w:val="20"/>
        </w:rPr>
        <w:t xml:space="preserve"> personel görev yapmaktadır. İç paydaş memnuniyet analizi kapsamında, üniversitemizde görev yapan </w:t>
      </w:r>
      <w:r w:rsidR="00824D41">
        <w:rPr>
          <w:rFonts w:ascii="Times New Roman" w:hAnsi="Times New Roman" w:cs="Times New Roman"/>
          <w:sz w:val="20"/>
          <w:szCs w:val="20"/>
        </w:rPr>
        <w:t>akademik</w:t>
      </w:r>
      <w:r w:rsidRPr="00957A20">
        <w:rPr>
          <w:rFonts w:ascii="Times New Roman" w:hAnsi="Times New Roman" w:cs="Times New Roman"/>
          <w:sz w:val="20"/>
          <w:szCs w:val="20"/>
        </w:rPr>
        <w:t xml:space="preserve"> </w:t>
      </w:r>
      <w:r w:rsidRPr="00A913FE">
        <w:rPr>
          <w:rFonts w:ascii="Times New Roman" w:hAnsi="Times New Roman" w:cs="Times New Roman"/>
          <w:sz w:val="20"/>
          <w:szCs w:val="20"/>
        </w:rPr>
        <w:t xml:space="preserve">personele </w:t>
      </w:r>
      <w:r w:rsidR="00A913FE" w:rsidRPr="00A913FE">
        <w:rPr>
          <w:rFonts w:ascii="Times New Roman" w:hAnsi="Times New Roman" w:cs="Times New Roman"/>
          <w:sz w:val="20"/>
          <w:szCs w:val="20"/>
        </w:rPr>
        <w:t>35</w:t>
      </w:r>
      <w:r w:rsidRPr="00A913FE">
        <w:rPr>
          <w:rFonts w:ascii="Times New Roman" w:hAnsi="Times New Roman" w:cs="Times New Roman"/>
          <w:sz w:val="20"/>
          <w:szCs w:val="20"/>
        </w:rPr>
        <w:t xml:space="preserve"> sorudan oluşan memnun</w:t>
      </w:r>
      <w:r w:rsidR="00720012" w:rsidRPr="00A913FE">
        <w:rPr>
          <w:rFonts w:ascii="Times New Roman" w:hAnsi="Times New Roman" w:cs="Times New Roman"/>
          <w:sz w:val="20"/>
          <w:szCs w:val="20"/>
        </w:rPr>
        <w:t xml:space="preserve">iyet anketi uygulanmıştır. Bu </w:t>
      </w:r>
      <w:r w:rsidRPr="00A913FE">
        <w:rPr>
          <w:rFonts w:ascii="Times New Roman" w:hAnsi="Times New Roman" w:cs="Times New Roman"/>
          <w:sz w:val="20"/>
          <w:szCs w:val="20"/>
        </w:rPr>
        <w:t xml:space="preserve">anket ile </w:t>
      </w:r>
      <w:r w:rsidR="00824D41" w:rsidRPr="00A913FE">
        <w:rPr>
          <w:rFonts w:ascii="Times New Roman" w:hAnsi="Times New Roman" w:cs="Times New Roman"/>
          <w:sz w:val="20"/>
          <w:szCs w:val="20"/>
        </w:rPr>
        <w:t>akademik</w:t>
      </w:r>
      <w:r w:rsidRPr="00A913FE">
        <w:rPr>
          <w:rFonts w:ascii="Times New Roman" w:hAnsi="Times New Roman" w:cs="Times New Roman"/>
          <w:sz w:val="20"/>
          <w:szCs w:val="20"/>
        </w:rPr>
        <w:t xml:space="preserve"> personelin </w:t>
      </w:r>
      <w:r w:rsidR="00824D41" w:rsidRPr="00A913FE">
        <w:rPr>
          <w:rFonts w:ascii="Times New Roman" w:hAnsi="Times New Roman" w:cs="Times New Roman"/>
          <w:sz w:val="20"/>
          <w:szCs w:val="20"/>
        </w:rPr>
        <w:t>üniversitemizde</w:t>
      </w:r>
      <w:r w:rsidRPr="00A913FE">
        <w:rPr>
          <w:rFonts w:ascii="Times New Roman" w:hAnsi="Times New Roman" w:cs="Times New Roman"/>
          <w:sz w:val="20"/>
          <w:szCs w:val="20"/>
        </w:rPr>
        <w:t xml:space="preserve"> olmak</w:t>
      </w:r>
      <w:r w:rsidR="00824D41" w:rsidRPr="00A913FE">
        <w:rPr>
          <w:rFonts w:ascii="Times New Roman" w:hAnsi="Times New Roman" w:cs="Times New Roman"/>
          <w:sz w:val="20"/>
          <w:szCs w:val="20"/>
        </w:rPr>
        <w:t xml:space="preserve">tan duyduğu </w:t>
      </w:r>
      <w:r w:rsidR="00824D41">
        <w:rPr>
          <w:rFonts w:ascii="Times New Roman" w:hAnsi="Times New Roman" w:cs="Times New Roman"/>
          <w:sz w:val="20"/>
          <w:szCs w:val="20"/>
        </w:rPr>
        <w:t>memnuniyet düzeyi</w:t>
      </w:r>
      <w:r w:rsidRPr="00957A20">
        <w:rPr>
          <w:rFonts w:ascii="Times New Roman" w:hAnsi="Times New Roman" w:cs="Times New Roman"/>
          <w:sz w:val="20"/>
          <w:szCs w:val="20"/>
        </w:rPr>
        <w:t xml:space="preserve">, başkalarına </w:t>
      </w:r>
      <w:r w:rsidR="00D52EBB">
        <w:rPr>
          <w:rFonts w:ascii="Times New Roman" w:hAnsi="Times New Roman" w:cs="Times New Roman"/>
          <w:sz w:val="20"/>
          <w:szCs w:val="20"/>
        </w:rPr>
        <w:t>üniversitemizde</w:t>
      </w:r>
      <w:r w:rsidRPr="00957A20">
        <w:rPr>
          <w:rFonts w:ascii="Times New Roman" w:hAnsi="Times New Roman" w:cs="Times New Roman"/>
          <w:sz w:val="20"/>
          <w:szCs w:val="20"/>
        </w:rPr>
        <w:t xml:space="preserve"> çalışmay</w:t>
      </w:r>
      <w:r w:rsidR="00824D41">
        <w:rPr>
          <w:rFonts w:ascii="Times New Roman" w:hAnsi="Times New Roman" w:cs="Times New Roman"/>
          <w:sz w:val="20"/>
          <w:szCs w:val="20"/>
        </w:rPr>
        <w:t>ı tavsiye edip etmeyecekleri ve üniversitemizden olan beklentileri tespit edilmeye çalışıl</w:t>
      </w:r>
      <w:r w:rsidRPr="00957A20">
        <w:rPr>
          <w:rFonts w:ascii="Times New Roman" w:hAnsi="Times New Roman" w:cs="Times New Roman"/>
          <w:sz w:val="20"/>
          <w:szCs w:val="20"/>
        </w:rPr>
        <w:t>mıştır.</w:t>
      </w:r>
      <w:r w:rsidR="00720012">
        <w:rPr>
          <w:rFonts w:ascii="Times New Roman" w:hAnsi="Times New Roman" w:cs="Times New Roman"/>
          <w:sz w:val="20"/>
          <w:szCs w:val="20"/>
        </w:rPr>
        <w:t xml:space="preserve"> </w:t>
      </w:r>
      <w:r w:rsidRPr="00957A20">
        <w:rPr>
          <w:rFonts w:ascii="Times New Roman" w:hAnsi="Times New Roman" w:cs="Times New Roman"/>
          <w:sz w:val="20"/>
          <w:szCs w:val="20"/>
        </w:rPr>
        <w:t xml:space="preserve">Anketi </w:t>
      </w:r>
      <w:r w:rsidRPr="00787658">
        <w:rPr>
          <w:rFonts w:ascii="Times New Roman" w:hAnsi="Times New Roman" w:cs="Times New Roman"/>
          <w:sz w:val="20"/>
          <w:szCs w:val="20"/>
        </w:rPr>
        <w:t>cevapla</w:t>
      </w:r>
      <w:r w:rsidR="00824D41" w:rsidRPr="00787658">
        <w:rPr>
          <w:rFonts w:ascii="Times New Roman" w:hAnsi="Times New Roman" w:cs="Times New Roman"/>
          <w:sz w:val="20"/>
          <w:szCs w:val="20"/>
        </w:rPr>
        <w:t xml:space="preserve">yan </w:t>
      </w:r>
      <w:r w:rsidR="00787658" w:rsidRPr="00787658">
        <w:rPr>
          <w:rFonts w:ascii="Times New Roman" w:hAnsi="Times New Roman" w:cs="Times New Roman"/>
          <w:sz w:val="20"/>
          <w:szCs w:val="20"/>
        </w:rPr>
        <w:t>98</w:t>
      </w:r>
      <w:r w:rsidR="00824D41" w:rsidRPr="00787658">
        <w:rPr>
          <w:rFonts w:ascii="Times New Roman" w:hAnsi="Times New Roman" w:cs="Times New Roman"/>
          <w:sz w:val="20"/>
          <w:szCs w:val="20"/>
        </w:rPr>
        <w:t xml:space="preserve"> akademik</w:t>
      </w:r>
      <w:r w:rsidR="00836A8C" w:rsidRPr="00787658">
        <w:rPr>
          <w:rFonts w:ascii="Times New Roman" w:hAnsi="Times New Roman" w:cs="Times New Roman"/>
          <w:sz w:val="20"/>
          <w:szCs w:val="20"/>
        </w:rPr>
        <w:t xml:space="preserve"> </w:t>
      </w:r>
      <w:r w:rsidR="00836A8C">
        <w:rPr>
          <w:rFonts w:ascii="Times New Roman" w:hAnsi="Times New Roman" w:cs="Times New Roman"/>
          <w:sz w:val="20"/>
          <w:szCs w:val="20"/>
        </w:rPr>
        <w:t xml:space="preserve">personelin </w:t>
      </w:r>
      <w:r w:rsidR="00836A8C" w:rsidRPr="00A913FE">
        <w:rPr>
          <w:rFonts w:ascii="Times New Roman" w:hAnsi="Times New Roman" w:cs="Times New Roman"/>
          <w:sz w:val="20"/>
          <w:szCs w:val="20"/>
        </w:rPr>
        <w:t>cevapları</w:t>
      </w:r>
      <w:r w:rsidRPr="00A913FE">
        <w:rPr>
          <w:rFonts w:ascii="Times New Roman" w:hAnsi="Times New Roman" w:cs="Times New Roman"/>
          <w:sz w:val="20"/>
          <w:szCs w:val="20"/>
        </w:rPr>
        <w:t xml:space="preserve"> </w:t>
      </w:r>
      <w:r w:rsidR="007C38D0" w:rsidRPr="00A913FE">
        <w:rPr>
          <w:rFonts w:ascii="Times New Roman" w:hAnsi="Times New Roman" w:cs="Times New Roman"/>
          <w:sz w:val="20"/>
          <w:szCs w:val="20"/>
        </w:rPr>
        <w:t>4 (dört</w:t>
      </w:r>
      <w:r w:rsidR="00836A8C" w:rsidRPr="00A913FE">
        <w:rPr>
          <w:rFonts w:ascii="Times New Roman" w:hAnsi="Times New Roman" w:cs="Times New Roman"/>
          <w:sz w:val="20"/>
          <w:szCs w:val="20"/>
        </w:rPr>
        <w:t xml:space="preserve">) farklı </w:t>
      </w:r>
      <w:r w:rsidR="00836A8C">
        <w:rPr>
          <w:rFonts w:ascii="Times New Roman" w:hAnsi="Times New Roman" w:cs="Times New Roman"/>
          <w:sz w:val="20"/>
          <w:szCs w:val="20"/>
        </w:rPr>
        <w:t>tabloda özetlenmiştir</w:t>
      </w:r>
      <w:r w:rsidRPr="00957A20">
        <w:rPr>
          <w:rFonts w:ascii="Times New Roman" w:hAnsi="Times New Roman" w:cs="Times New Roman"/>
          <w:sz w:val="20"/>
          <w:szCs w:val="20"/>
        </w:rPr>
        <w:t>.</w:t>
      </w:r>
    </w:p>
    <w:p w:rsidR="00DE17C7" w:rsidRPr="00A02F25" w:rsidRDefault="00DE17C7" w:rsidP="00DE17C7">
      <w:pPr>
        <w:spacing w:after="0" w:line="240" w:lineRule="auto"/>
        <w:ind w:left="-425" w:right="-142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32"/>
      </w:tblGrid>
      <w:tr w:rsidR="00DE17C7" w:rsidRPr="00430EF1" w:rsidTr="00FD69C1">
        <w:trPr>
          <w:cantSplit/>
          <w:trHeight w:val="481"/>
        </w:trPr>
        <w:tc>
          <w:tcPr>
            <w:tcW w:w="5813" w:type="dxa"/>
            <w:gridSpan w:val="2"/>
            <w:vMerge w:val="restart"/>
            <w:vAlign w:val="center"/>
          </w:tcPr>
          <w:p w:rsidR="00836A8C" w:rsidRDefault="00836A8C" w:rsidP="00FD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Tablo 1:</w:t>
            </w:r>
            <w:r w:rsidR="00DE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1E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  <w:r w:rsidR="00DE7FCB" w:rsidRPr="00DE7FCB">
              <w:rPr>
                <w:rFonts w:ascii="Times New Roman" w:hAnsi="Times New Roman" w:cs="Times New Roman"/>
                <w:sz w:val="24"/>
                <w:szCs w:val="24"/>
              </w:rPr>
              <w:t xml:space="preserve"> ve Yüzdeler</w:t>
            </w:r>
            <w:r w:rsidR="00DE7FCB">
              <w:rPr>
                <w:rFonts w:ascii="Times New Roman" w:hAnsi="Times New Roman" w:cs="Times New Roman"/>
                <w:sz w:val="24"/>
                <w:szCs w:val="24"/>
              </w:rPr>
              <w:t xml:space="preserve"> (Detaylı)</w:t>
            </w:r>
          </w:p>
          <w:p w:rsidR="00867322" w:rsidRDefault="00867322" w:rsidP="00FD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8C" w:rsidRDefault="00836A8C" w:rsidP="00FD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C7" w:rsidRPr="00DE7FCB" w:rsidRDefault="00DE17C7" w:rsidP="00800EEB">
            <w:pPr>
              <w:jc w:val="center"/>
              <w:rPr>
                <w:rFonts w:ascii="Times New Roman" w:hAnsi="Times New Roman" w:cs="Times New Roman"/>
              </w:rPr>
            </w:pPr>
            <w:r w:rsidRPr="00DE7FCB">
              <w:rPr>
                <w:rFonts w:ascii="Times New Roman" w:hAnsi="Times New Roman" w:cs="Times New Roman"/>
              </w:rPr>
              <w:t xml:space="preserve">Ankete katılan </w:t>
            </w:r>
            <w:r w:rsidR="00800EEB">
              <w:rPr>
                <w:rFonts w:ascii="Times New Roman" w:hAnsi="Times New Roman" w:cs="Times New Roman"/>
              </w:rPr>
              <w:t>akademik personel sayısı: 98</w:t>
            </w:r>
          </w:p>
        </w:tc>
        <w:tc>
          <w:tcPr>
            <w:tcW w:w="4926" w:type="dxa"/>
            <w:gridSpan w:val="10"/>
            <w:tcBorders>
              <w:bottom w:val="single" w:sz="4" w:space="0" w:color="auto"/>
            </w:tcBorders>
            <w:vAlign w:val="center"/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</w:p>
        </w:tc>
      </w:tr>
      <w:tr w:rsidR="00FD69C1" w:rsidRPr="00430EF1" w:rsidTr="00FD69C1">
        <w:trPr>
          <w:cantSplit/>
          <w:trHeight w:val="1589"/>
        </w:trPr>
        <w:tc>
          <w:tcPr>
            <w:tcW w:w="5813" w:type="dxa"/>
            <w:gridSpan w:val="2"/>
            <w:vMerge/>
            <w:tcBorders>
              <w:bottom w:val="single" w:sz="4" w:space="0" w:color="auto"/>
            </w:tcBorders>
          </w:tcPr>
          <w:p w:rsidR="00DE17C7" w:rsidRPr="00430EF1" w:rsidRDefault="00DE17C7" w:rsidP="00FD6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475DFE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75D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Çok memnunum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475DFE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75D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475DFE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DFE">
              <w:rPr>
                <w:rFonts w:ascii="Times New Roman" w:hAnsi="Times New Roman" w:cs="Times New Roman"/>
                <w:b/>
                <w:sz w:val="18"/>
                <w:szCs w:val="18"/>
              </w:rPr>
              <w:t>Kararsızım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475DFE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475D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Memnun değilim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475DFE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475D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Hiç memnun değilim</w:t>
            </w:r>
          </w:p>
        </w:tc>
      </w:tr>
      <w:tr w:rsidR="00FD69C1" w:rsidRPr="000900CA" w:rsidTr="00FD69C1">
        <w:tc>
          <w:tcPr>
            <w:tcW w:w="426" w:type="dxa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A7BD2" w:rsidRPr="0017573E" w:rsidTr="00FD69C1">
        <w:tc>
          <w:tcPr>
            <w:tcW w:w="426" w:type="dxa"/>
          </w:tcPr>
          <w:p w:rsidR="00FD69C1" w:rsidRPr="0017573E" w:rsidRDefault="00FD69C1" w:rsidP="0094173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:rsidR="00FD69C1" w:rsidRPr="0017573E" w:rsidRDefault="00FD69C1" w:rsidP="0094173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6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FD69C1" w:rsidRPr="0017573E" w:rsidRDefault="00FA61E2" w:rsidP="00941735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1A1FB1" w:rsidRPr="00644A60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kurumsallaşma düzeyinden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0,41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1A1FB1" w:rsidRPr="00644A60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Senato ve Üniversite Yönetim Kurulu kararlarının şeffaflık ve hesap verilebilirliğinden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0,44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0,02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7" w:type="dxa"/>
          </w:tcPr>
          <w:p w:rsidR="001A1FB1" w:rsidRPr="00644A60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Birim Kurul (Yönetim K, Fakülte K, Bölüm K. …) kararlarının şeffaflık ve hesap verilebilirliğinden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0,46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0,05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Yönetsel kararlara katılım ve idari uygulamalardaki adillikten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0,35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0,05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Düşünceleri ifade özgürlüğünden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0,39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Atanma ve akademik yükseltme ölçütlerinden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0,40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Üniversitemizin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vizyon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misyonundan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0,40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0,04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 belirlenmiş öncelikli alanlardan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0,35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0,04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Üniversitemizin </w:t>
            </w:r>
            <w:proofErr w:type="spell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uluslararasılaşma</w:t>
            </w:r>
            <w:proofErr w:type="spell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stratejileri ile yenilik ve değişim çabalarından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Türkiye’deki diğer üniversiteler içindeki konumundan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0,08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0,22</w:t>
            </w:r>
          </w:p>
        </w:tc>
        <w:tc>
          <w:tcPr>
            <w:tcW w:w="426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 üst yönetimine (Rektör, Rektör Yardımcıları) ulaşılabilirlikten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0,32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0,01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Akademik birim yöneticilerine (Dekan, Müdür, Bölüm Başkanı gibi) ulaşılabilirlikten 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0,43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0,02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Akademik personel arası iletişim ve ilişkilerden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0,40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0,04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Görev yaptığım birimdeki akademik personelin niteliğinden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0,50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0,05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Öğrencilerle olan iletişimden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0,63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0,02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Dış paydaşlarla (kamu kurumları, özel sektör, sivil toplum kuruluşları, halk …) olan ilişkilerden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0,36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0,02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 yüklerinden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 ücreti ödemelerinin zamanlamasından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0,05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Üniversitemizdeki yabancı uyruklu öğrenci uygulamalarından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0,35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Kütüphane, dokümantasyon hizmetleri ve elektronik veri tabanı olanaklarından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0,50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0,03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Araştırma ve yayın yapmayı teşvik edici ödüllendirme sisteminden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0,27</w:t>
            </w:r>
          </w:p>
        </w:tc>
        <w:tc>
          <w:tcPr>
            <w:tcW w:w="426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sz w:val="16"/>
                <w:szCs w:val="16"/>
              </w:rPr>
              <w:t>0,29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Yurtiçi ve yurtdışı bilimsel toplantı,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sempozyum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kongrelere katılım için verilen desteklerden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0,17</w:t>
            </w:r>
          </w:p>
        </w:tc>
        <w:tc>
          <w:tcPr>
            <w:tcW w:w="426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sz w:val="16"/>
                <w:szCs w:val="16"/>
              </w:rPr>
              <w:t>0,31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 içi (BAP) ve Üniversite dışı (dış kaynaklı) projelere verilen desteklerden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Kültür, sanat ve sportif etkinlikler ile bu amaçla kurulmuş tesislerden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Kampüs alanı, binalar, derslikler ve ofislerin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hijyen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temizliğinden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0,50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0,03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Yemekhane, kafeterya ve kantin hizmetlerinden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0,42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İnternet ve bilgi işlem (akademisyen bilgi sistemi, OBS, OYS…) hizmetlerinden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0,57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0,01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 web sayfasının tasarım ve içeriğinden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0,59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0,02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Derslik, laboratuvar ve atölyelerin fiziki ve donanımsal yeterliliğinden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0,44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0,22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0,05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Ofislerin fiziki ve donanımsal (bilgisayar, yazıcı, kitaplık gibi) yeterliliğinden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0,43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0,16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Üniversite’de (ve ilgili akademik birimde) görev yapan idari ve destek personelin niteliğinden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0,19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 yürütülen kalite güvencesi ve kalite geliştirme çalışmalarından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0,04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beklentilerimi karşılama düzeyinden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0,20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0,42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0,14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Görev yaptığım akademik birimin bir mensubu olmaktan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0,45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0,07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0,03</w:t>
            </w:r>
          </w:p>
        </w:tc>
      </w:tr>
      <w:tr w:rsidR="001A1FB1" w:rsidRPr="005A7BD2" w:rsidTr="00FD69C1">
        <w:tc>
          <w:tcPr>
            <w:tcW w:w="426" w:type="dxa"/>
          </w:tcPr>
          <w:p w:rsidR="001A1FB1" w:rsidRPr="00644A60" w:rsidRDefault="001A1FB1" w:rsidP="00475D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87" w:type="dxa"/>
          </w:tcPr>
          <w:p w:rsidR="001A1FB1" w:rsidRPr="00D3491E" w:rsidRDefault="001A1FB1" w:rsidP="00475D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bir mensubu olmaktan (Üniversiteye ilişkin genel memnuniyet)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0,43</w:t>
            </w:r>
          </w:p>
        </w:tc>
        <w:tc>
          <w:tcPr>
            <w:tcW w:w="426" w:type="dxa"/>
          </w:tcPr>
          <w:p w:rsidR="001A1FB1" w:rsidRPr="009635CE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A1FB1" w:rsidRPr="001441DD" w:rsidRDefault="001A1FB1" w:rsidP="00475D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441DD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  <w:tc>
          <w:tcPr>
            <w:tcW w:w="425" w:type="dxa"/>
          </w:tcPr>
          <w:p w:rsidR="001A1FB1" w:rsidRPr="00267500" w:rsidRDefault="001A1FB1" w:rsidP="00475D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1A1FB1" w:rsidRPr="00267500" w:rsidRDefault="001A1FB1" w:rsidP="00475DFE">
            <w:pPr>
              <w:spacing w:before="40" w:after="4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26750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0,02</w:t>
            </w:r>
          </w:p>
        </w:tc>
      </w:tr>
    </w:tbl>
    <w:p w:rsidR="00F1432D" w:rsidRDefault="00F1432D" w:rsidP="00836A8C">
      <w:pPr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p w:rsidR="009443B8" w:rsidRDefault="009443B8" w:rsidP="00836A8C">
      <w:pPr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p w:rsidR="00C67185" w:rsidRPr="00836A8C" w:rsidRDefault="00C67185" w:rsidP="00836A8C">
      <w:pPr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120"/>
        <w:gridCol w:w="560"/>
        <w:gridCol w:w="1120"/>
      </w:tblGrid>
      <w:tr w:rsidR="000900CA" w:rsidRPr="00430EF1" w:rsidTr="009443B8">
        <w:trPr>
          <w:cantSplit/>
          <w:trHeight w:val="422"/>
        </w:trPr>
        <w:tc>
          <w:tcPr>
            <w:tcW w:w="7939" w:type="dxa"/>
            <w:gridSpan w:val="2"/>
            <w:vMerge w:val="restart"/>
            <w:vAlign w:val="center"/>
          </w:tcPr>
          <w:p w:rsidR="00DE7FCB" w:rsidRDefault="00DE7FCB" w:rsidP="001D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Memnuniyet, Kararsızlık ve Memnuniyetsizlik Yüzdeleri</w:t>
            </w:r>
            <w:r w:rsidR="00FA61E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:rsidR="00DE7FCB" w:rsidRDefault="00DE7FCB" w:rsidP="001D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CA" w:rsidRPr="00DE7FCB" w:rsidRDefault="001D4E06" w:rsidP="005C7A79">
            <w:pPr>
              <w:jc w:val="center"/>
              <w:rPr>
                <w:rFonts w:ascii="Times New Roman" w:hAnsi="Times New Roman" w:cs="Times New Roman"/>
              </w:rPr>
            </w:pPr>
            <w:r w:rsidRPr="00DE7FCB">
              <w:rPr>
                <w:rFonts w:ascii="Times New Roman" w:hAnsi="Times New Roman" w:cs="Times New Roman"/>
              </w:rPr>
              <w:t xml:space="preserve">Ankete katılan </w:t>
            </w:r>
            <w:r w:rsidR="005C7A79">
              <w:rPr>
                <w:rFonts w:ascii="Times New Roman" w:hAnsi="Times New Roman" w:cs="Times New Roman"/>
              </w:rPr>
              <w:t>akademik</w:t>
            </w:r>
            <w:r w:rsidRPr="00DE7FCB">
              <w:rPr>
                <w:rFonts w:ascii="Times New Roman" w:hAnsi="Times New Roman" w:cs="Times New Roman"/>
              </w:rPr>
              <w:t xml:space="preserve"> personel sayısı</w:t>
            </w:r>
            <w:r w:rsidR="005C7A79">
              <w:rPr>
                <w:rFonts w:ascii="Times New Roman" w:hAnsi="Times New Roman" w:cs="Times New Roman"/>
              </w:rPr>
              <w:t>: 98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0900CA" w:rsidRPr="000900CA" w:rsidRDefault="000900CA" w:rsidP="000900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  <w:r w:rsidR="00FA6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836A8C" w:rsidRPr="00430EF1" w:rsidTr="00C67185">
        <w:trPr>
          <w:cantSplit/>
          <w:trHeight w:val="2033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836A8C" w:rsidRPr="00430EF1" w:rsidRDefault="00836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36A8C" w:rsidRPr="00C67185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Çok memnunum</w:t>
            </w:r>
          </w:p>
          <w:p w:rsidR="00836A8C" w:rsidRPr="00C67185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&amp;</w:t>
            </w:r>
          </w:p>
          <w:p w:rsidR="00836A8C" w:rsidRPr="00C67185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836A8C" w:rsidRPr="00C67185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sz w:val="18"/>
                <w:szCs w:val="18"/>
              </w:rPr>
              <w:t>Kararsızım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836A8C" w:rsidRPr="00C67185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Memnun değilim</w:t>
            </w:r>
          </w:p>
          <w:p w:rsidR="00836A8C" w:rsidRPr="00C67185" w:rsidRDefault="00836A8C" w:rsidP="001D77AB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&amp;</w:t>
            </w:r>
          </w:p>
          <w:p w:rsidR="00836A8C" w:rsidRPr="00C67185" w:rsidRDefault="00836A8C" w:rsidP="001D77AB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Hiç memnun değilim</w:t>
            </w:r>
          </w:p>
        </w:tc>
      </w:tr>
      <w:tr w:rsidR="00941735" w:rsidRPr="00F24072" w:rsidTr="009443B8">
        <w:tc>
          <w:tcPr>
            <w:tcW w:w="426" w:type="dxa"/>
            <w:shd w:val="clear" w:color="auto" w:fill="auto"/>
          </w:tcPr>
          <w:p w:rsidR="00941735" w:rsidRPr="00F24072" w:rsidRDefault="00941735" w:rsidP="00C67185">
            <w:pPr>
              <w:spacing w:before="80" w:after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941735" w:rsidRPr="00F24072" w:rsidRDefault="00941735" w:rsidP="00C6718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941735" w:rsidRPr="00F24072" w:rsidRDefault="00F2221D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</w:tc>
        <w:tc>
          <w:tcPr>
            <w:tcW w:w="560" w:type="dxa"/>
            <w:shd w:val="clear" w:color="auto" w:fill="auto"/>
          </w:tcPr>
          <w:p w:rsidR="00941735" w:rsidRPr="00F24072" w:rsidRDefault="009443B8" w:rsidP="00C67185">
            <w:pPr>
              <w:spacing w:before="80" w:after="80"/>
              <w:ind w:left="-89"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072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941735" w:rsidRPr="00F24072" w:rsidRDefault="00F2221D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AB41A8" w:rsidRPr="00644A60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kurumsallaşma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0,61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0,21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AB41A8" w:rsidRPr="00644A60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Senato ve Üniversite Yönetim Kurulu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0,70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AB41A8" w:rsidRPr="00644A60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Birim Kurul (Yönetim K, Fakülte K, Bölüm K. …)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0,69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Yönetsel kararlara katılım ve idari uygulamalardaki adillikten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0,57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Düşünceleri ifade özgürlüğünden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0,63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Atanma ve akademik yükseltme ölçütlerinden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Üniversitemizin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vizyon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misyonundan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0,65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 belirlenmiş öncelikli alanlardan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0,58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0,22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Üniversitemizin </w:t>
            </w:r>
            <w:proofErr w:type="spell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uluslararasılaşma</w:t>
            </w:r>
            <w:proofErr w:type="spell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stratejileri ile yenilik ve değişim çabalarından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0,64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0,21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Türkiye’deki diğer üniversiteler içindeki konumundan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0,31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0,43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 üst yönetimine (Rektör, Rektör Yardımcıları) ulaşılabilirlikten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0,76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Akademik birim yöneticilerine (Dekan, Müdür, Bölüm Başkanı gibi) ulaşılabilirlikten 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0,88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Akademik personel arası iletişim ve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0,64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Görev yaptığım birimdeki akademik personelin niteliğinden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0,71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Öğrencilerle olan iletişimden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0,86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Dış paydaşlarla (kamu kurumları, özel sektör, sivil toplum kuruluşları, halk …) olan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0,58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0,12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 yüklerinden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 ücreti ödemelerinin zamanlamasından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0,59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0,22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Üniversitemizdeki yabancı uyruklu öğrenci uygulamalarından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0,56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0,19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Kütüphane, dokümantasyon hizmetleri ve elektronik veri tabanı olanaklarından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0,84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Araştırma ve yayın yapmayı teşvik edici ödüllendirme sisteminden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0,41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0,31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Yurtiçi ve yurtdışı bilimsel toplantı,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sempozyum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kongrelere katılım için verilen desteklerden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0,30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0,40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 içi (BAP) ve Üniversite dışı (dış kaynaklı) projelere verilen desteklerden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0,55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Kültür, sanat ve sportif etkinlikler ile bu amaçla kurulmuş tesislerden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0,55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0,23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Kampüs alanı, binalar, derslikler ve ofislerin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hijyen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temizliğinden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0,77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Yemekhane, kafeterya ve kantin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0,58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0,29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İnternet ve bilgi işlem (akademisyen bilgi sistemi, OBS, OYS…)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0,82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 web sayfasının tasarım ve içeriğinden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0,85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Derslik, laboratuvar ve atölyelerin fiziki ve donanımsal yeterliliğinden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0,60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0,28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Ofislerin fiziki ve donanımsal (bilgisayar, yazıcı, kitaplık gibi) yeterliliğinden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0,26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Üniversite’de (ve ilgili akademik birimde) görev yapan idari ve destek personelin niteliğinden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 yürütülen kalite güvencesi ve kalite geliştirme çalışmalarından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0,61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beklentilerimi karşılama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0,62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Görev yaptığım akademik birimin bir mensubu olmaktan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0,83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AB41A8" w:rsidRPr="00350583" w:rsidTr="00D44D91">
        <w:tc>
          <w:tcPr>
            <w:tcW w:w="426" w:type="dxa"/>
          </w:tcPr>
          <w:p w:rsidR="00AB41A8" w:rsidRPr="00644A60" w:rsidRDefault="00AB41A8" w:rsidP="00C67185">
            <w:pPr>
              <w:spacing w:before="80" w:after="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513" w:type="dxa"/>
          </w:tcPr>
          <w:p w:rsidR="00AB41A8" w:rsidRPr="00D3491E" w:rsidRDefault="00AB41A8" w:rsidP="00C67185">
            <w:pPr>
              <w:spacing w:before="80" w:after="8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bir mensubu olmaktan (Üniversiteye ilişkin genel memnuniyet)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0,81</w:t>
            </w:r>
          </w:p>
        </w:tc>
        <w:tc>
          <w:tcPr>
            <w:tcW w:w="560" w:type="dxa"/>
          </w:tcPr>
          <w:p w:rsidR="00AB41A8" w:rsidRPr="00AB41A8" w:rsidRDefault="00AB41A8" w:rsidP="00C67185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B41A8" w:rsidRPr="00AB41A8" w:rsidRDefault="00AB41A8" w:rsidP="00C67185">
            <w:pPr>
              <w:spacing w:before="80" w:after="8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</w:tbl>
    <w:p w:rsidR="00B97545" w:rsidRPr="009443B8" w:rsidRDefault="00B97545" w:rsidP="000900C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E51E4" w:rsidRDefault="00CE51E4" w:rsidP="00836A8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120"/>
        <w:gridCol w:w="560"/>
        <w:gridCol w:w="1120"/>
      </w:tblGrid>
      <w:tr w:rsidR="00AC4D28" w:rsidRPr="00430EF1" w:rsidTr="00AC4D28">
        <w:trPr>
          <w:cantSplit/>
          <w:trHeight w:val="422"/>
        </w:trPr>
        <w:tc>
          <w:tcPr>
            <w:tcW w:w="7939" w:type="dxa"/>
            <w:gridSpan w:val="2"/>
            <w:vMerge w:val="restart"/>
            <w:vAlign w:val="center"/>
          </w:tcPr>
          <w:p w:rsidR="00AC4D28" w:rsidRPr="005B73D7" w:rsidRDefault="00AC4D28" w:rsidP="00AC4D2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3: </w:t>
            </w:r>
            <w:r w:rsidRPr="005B73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Memnuniyetin Yüksek Olduğu Konular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(%)</w:t>
            </w:r>
          </w:p>
          <w:p w:rsidR="00AC4D28" w:rsidRPr="005B73D7" w:rsidRDefault="00AC4D28" w:rsidP="00A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5B73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(Yüksekten Düşüğe </w:t>
            </w:r>
            <w:r w:rsidR="001722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Doğru</w:t>
            </w:r>
            <w:r w:rsidRPr="005B73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Sıralı)</w:t>
            </w:r>
          </w:p>
          <w:p w:rsidR="00AC4D28" w:rsidRDefault="00AC4D28" w:rsidP="00AC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D28" w:rsidRPr="004D1460" w:rsidRDefault="00AC4D28" w:rsidP="00AC4D28">
            <w:pPr>
              <w:jc w:val="center"/>
              <w:rPr>
                <w:rFonts w:ascii="Times New Roman" w:hAnsi="Times New Roman" w:cs="Times New Roman"/>
              </w:rPr>
            </w:pPr>
            <w:r w:rsidRPr="004D1460">
              <w:rPr>
                <w:rFonts w:ascii="Times New Roman" w:hAnsi="Times New Roman" w:cs="Times New Roman"/>
              </w:rPr>
              <w:t xml:space="preserve">Ankete katılan </w:t>
            </w:r>
            <w:r>
              <w:rPr>
                <w:rFonts w:ascii="Times New Roman" w:hAnsi="Times New Roman" w:cs="Times New Roman"/>
              </w:rPr>
              <w:t>akademik personel sayısı: 98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AC4D28" w:rsidRPr="000900CA" w:rsidRDefault="00AC4D28" w:rsidP="00AC4D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AC4D28" w:rsidRPr="00430EF1" w:rsidTr="00A913FE">
        <w:trPr>
          <w:cantSplit/>
          <w:trHeight w:val="1989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AC4D28" w:rsidRPr="00430EF1" w:rsidRDefault="00AC4D28" w:rsidP="00AC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AC4D28" w:rsidRPr="00C67185" w:rsidRDefault="00AC4D28" w:rsidP="00AC4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Çok memnunum</w:t>
            </w:r>
          </w:p>
          <w:p w:rsidR="00AC4D28" w:rsidRPr="00C67185" w:rsidRDefault="00AC4D28" w:rsidP="00AC4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&amp;</w:t>
            </w:r>
          </w:p>
          <w:p w:rsidR="00AC4D28" w:rsidRPr="00C67185" w:rsidRDefault="00AC4D28" w:rsidP="00AC4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AC4D28" w:rsidRPr="00C67185" w:rsidRDefault="00AC4D28" w:rsidP="00AC4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sz w:val="18"/>
                <w:szCs w:val="18"/>
              </w:rPr>
              <w:t>Kararsızım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AC4D28" w:rsidRPr="00C67185" w:rsidRDefault="00AC4D28" w:rsidP="00AC4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Memnun değilim</w:t>
            </w:r>
          </w:p>
          <w:p w:rsidR="00AC4D28" w:rsidRPr="00C67185" w:rsidRDefault="00AC4D28" w:rsidP="00AC4D28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&amp;</w:t>
            </w:r>
          </w:p>
          <w:p w:rsidR="00AC4D28" w:rsidRPr="00C67185" w:rsidRDefault="00AC4D28" w:rsidP="00AC4D28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671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Hiç memnun değilim</w:t>
            </w:r>
          </w:p>
        </w:tc>
      </w:tr>
      <w:tr w:rsidR="00AC4D28" w:rsidRPr="00F24072" w:rsidTr="00AC4D28">
        <w:tc>
          <w:tcPr>
            <w:tcW w:w="426" w:type="dxa"/>
            <w:shd w:val="clear" w:color="auto" w:fill="auto"/>
          </w:tcPr>
          <w:p w:rsidR="00AC4D28" w:rsidRPr="00F24072" w:rsidRDefault="00AC4D28" w:rsidP="00F2221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AC4D28" w:rsidRPr="00F24072" w:rsidRDefault="00AC4D28" w:rsidP="00F2221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C4D28" w:rsidRPr="00F24072" w:rsidRDefault="00F2221D" w:rsidP="00F22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</w:tc>
        <w:tc>
          <w:tcPr>
            <w:tcW w:w="560" w:type="dxa"/>
            <w:shd w:val="clear" w:color="auto" w:fill="auto"/>
          </w:tcPr>
          <w:p w:rsidR="00AC4D28" w:rsidRPr="00F24072" w:rsidRDefault="00AC4D28" w:rsidP="00F2221D">
            <w:pPr>
              <w:spacing w:before="60" w:after="60"/>
              <w:ind w:left="-89"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072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AC4D28" w:rsidRPr="00F24072" w:rsidRDefault="00F2221D" w:rsidP="00F22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Akademik birim yöneticilerine (Dekan, Müdür, Bölüm Başkanı gibi) ulaşılabilirlikten 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0,88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0,06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Öğrencilerle olan iletişimden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0,86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 web sayfasının tasarım ve içeriğinden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0,85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Kütüphane, dokümantasyon hizmetleri ve elektronik veri tabanı olanaklarından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0,84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0,08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Görev yaptığım akademik birimin bir mensubu olmaktan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0,83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İnternet ve bilgi işlem (akademisyen bilgi sistemi, OBS, OYS…)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0,82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bir mensubu olmaktan (Üniversiteye ilişkin genel memnuniyet)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0,81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Kampüs alanı, binalar, derslikler ve ofislerin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hijyen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temizliğinden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0,77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 üst yönetimine (Rektör, Rektör Yardımcıları) ulaşılabilirlikten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0,76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Görev yaptığım birimdeki akademik personelin niteliğinden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0,71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A913FE" w:rsidRPr="00644A60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Senato ve Üniversite Yönetim Kurulu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0,70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0,09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A913FE" w:rsidRPr="00644A60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Birim Kurul (Yönetim K, Fakülte K, Bölüm K. …)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0,69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0,11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 yüklerinden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Atanma ve akademik yükseltme ölçütlerinden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Ofislerin fiziki ve donanımsal (bilgisayar, yazıcı, kitaplık gibi) yeterliliğinden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0,26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Üniversite’de (ve ilgili akademik birimde) görev yapan idari ve destek personelin niteliğinden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0,67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Üniversitemizin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vizyon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misyonundan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0,65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0,13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Üniversitemizin </w:t>
            </w:r>
            <w:proofErr w:type="spell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uluslararasılaşma</w:t>
            </w:r>
            <w:proofErr w:type="spell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stratejileri ile yenilik ve değişim çabalarından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0,64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0,21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Akademik personel arası iletişim ve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0,64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Düşünceleri ifade özgürlüğünden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0,63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beklentilerimi karşılama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0,62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13" w:type="dxa"/>
          </w:tcPr>
          <w:p w:rsidR="00A913FE" w:rsidRPr="00644A60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kurumsallaşma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0,61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0,21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 yürütülen kalite güvencesi ve kalite geliştirme çalışmalarından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0,61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0,17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Derslik, laboratuvar ve atölyelerin fiziki ve donanımsal yeterliliğinden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0,60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0,28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Ders ücreti ödemelerinin zamanlamasından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0,59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0,22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 belirlenmiş öncelikli alanlardan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0,58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0,22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Dış paydaşlarla (kamu kurumları, özel sektör, sivil toplum kuruluşları, halk …) olan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0,58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0,12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Yemekhane, kafeterya ve kantin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0,58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0,29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Yönetsel kararlara katılım ve idari uygulamalardaki adillikten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0,57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Üniversitemizdeki yabancı uyruklu öğrenci uygulamalarından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0,56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0,19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 içi (BAP) ve Üniversite dışı (dış kaynaklı) projelere verilen desteklerden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0,55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0,20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Kültür, sanat ve sportif etkinlikler ile bu amaçla kurulmuş tesislerden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0,55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0,23</w:t>
            </w:r>
          </w:p>
        </w:tc>
      </w:tr>
      <w:tr w:rsidR="00A913FE" w:rsidRPr="00350583" w:rsidTr="00AC4D28">
        <w:tc>
          <w:tcPr>
            <w:tcW w:w="426" w:type="dxa"/>
          </w:tcPr>
          <w:p w:rsidR="00A913FE" w:rsidRPr="00644A60" w:rsidRDefault="00A913FE" w:rsidP="00A913FE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513" w:type="dxa"/>
          </w:tcPr>
          <w:p w:rsidR="00A913FE" w:rsidRPr="00D3491E" w:rsidRDefault="00A913FE" w:rsidP="00A913FE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Araştırma ve yayın yapmayı teşvik edici ödüllendirme sisteminden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0,41</w:t>
            </w:r>
          </w:p>
        </w:tc>
        <w:tc>
          <w:tcPr>
            <w:tcW w:w="560" w:type="dxa"/>
          </w:tcPr>
          <w:p w:rsidR="00A913FE" w:rsidRPr="00AB41A8" w:rsidRDefault="00A913FE" w:rsidP="00A913F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A913FE" w:rsidRPr="00AB41A8" w:rsidRDefault="00A913FE" w:rsidP="00A913FE">
            <w:pPr>
              <w:spacing w:before="40" w:after="4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0,31</w:t>
            </w:r>
          </w:p>
        </w:tc>
      </w:tr>
    </w:tbl>
    <w:p w:rsidR="00AC4D28" w:rsidRDefault="00AC4D28" w:rsidP="00836A8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4D28" w:rsidRDefault="00AC4D28" w:rsidP="00836A8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4D28" w:rsidRDefault="00AC4D28" w:rsidP="00836A8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120"/>
        <w:gridCol w:w="560"/>
        <w:gridCol w:w="1120"/>
      </w:tblGrid>
      <w:tr w:rsidR="00CE51E4" w:rsidRPr="00430EF1" w:rsidTr="0017573E">
        <w:trPr>
          <w:cantSplit/>
          <w:trHeight w:val="306"/>
        </w:trPr>
        <w:tc>
          <w:tcPr>
            <w:tcW w:w="7939" w:type="dxa"/>
            <w:gridSpan w:val="2"/>
            <w:vMerge w:val="restart"/>
            <w:vAlign w:val="center"/>
          </w:tcPr>
          <w:p w:rsidR="004D1460" w:rsidRPr="005B73D7" w:rsidRDefault="005B73D7" w:rsidP="0004157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4: </w:t>
            </w:r>
            <w:r w:rsidR="004D1460" w:rsidRPr="005B73D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Memnuniyetsizliğin </w:t>
            </w:r>
            <w:r w:rsidR="00836A8C" w:rsidRPr="005B73D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Yüksek Olduğu Konular</w:t>
            </w:r>
            <w:r w:rsidR="00FA61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(%)</w:t>
            </w:r>
          </w:p>
          <w:p w:rsidR="00CE51E4" w:rsidRPr="005B73D7" w:rsidRDefault="00A913FE" w:rsidP="0004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(Yüksekten Düşüğe Doğru</w:t>
            </w:r>
            <w:r w:rsidR="00836A8C" w:rsidRPr="005B73D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Sıralı)</w:t>
            </w:r>
          </w:p>
          <w:p w:rsidR="004D1460" w:rsidRPr="005B73D7" w:rsidRDefault="004D1460" w:rsidP="0004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60" w:rsidRPr="00430EF1" w:rsidRDefault="004D1460" w:rsidP="005C7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</w:rPr>
              <w:t xml:space="preserve">Ankete katılan </w:t>
            </w:r>
            <w:r w:rsidR="005C7A79">
              <w:rPr>
                <w:rFonts w:ascii="Times New Roman" w:hAnsi="Times New Roman" w:cs="Times New Roman"/>
              </w:rPr>
              <w:t>akademik personel sayısı: 98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CE51E4" w:rsidRPr="000900CA" w:rsidRDefault="00CE51E4" w:rsidP="00041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  <w:r w:rsidR="00FA6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836A8C" w:rsidRPr="00430EF1" w:rsidTr="00A913FE">
        <w:trPr>
          <w:cantSplit/>
          <w:trHeight w:val="2033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836A8C" w:rsidRPr="00430EF1" w:rsidRDefault="00836A8C" w:rsidP="00041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36A8C" w:rsidRPr="00A913FE" w:rsidRDefault="00836A8C" w:rsidP="00041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Çok memnunum</w:t>
            </w:r>
          </w:p>
          <w:p w:rsidR="00836A8C" w:rsidRPr="00A913FE" w:rsidRDefault="00836A8C" w:rsidP="00041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&amp;</w:t>
            </w:r>
          </w:p>
          <w:p w:rsidR="00836A8C" w:rsidRPr="00A913FE" w:rsidRDefault="00836A8C" w:rsidP="00041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836A8C" w:rsidRPr="00A913FE" w:rsidRDefault="00836A8C" w:rsidP="00041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sz w:val="18"/>
                <w:szCs w:val="18"/>
              </w:rPr>
              <w:t>Kararsızım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836A8C" w:rsidRPr="00A913FE" w:rsidRDefault="00836A8C" w:rsidP="00041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Memnun değilim</w:t>
            </w:r>
          </w:p>
          <w:p w:rsidR="00836A8C" w:rsidRPr="00A913FE" w:rsidRDefault="00836A8C" w:rsidP="0004157E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&amp;</w:t>
            </w:r>
          </w:p>
          <w:p w:rsidR="00836A8C" w:rsidRPr="00A913FE" w:rsidRDefault="00836A8C" w:rsidP="0004157E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Hiç memnun değilim</w:t>
            </w:r>
          </w:p>
        </w:tc>
      </w:tr>
      <w:tr w:rsidR="0017573E" w:rsidRPr="00A913FE" w:rsidTr="0004157E">
        <w:tc>
          <w:tcPr>
            <w:tcW w:w="426" w:type="dxa"/>
            <w:shd w:val="clear" w:color="auto" w:fill="auto"/>
          </w:tcPr>
          <w:p w:rsidR="0017573E" w:rsidRPr="00A913FE" w:rsidRDefault="0017573E" w:rsidP="00F2221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17573E" w:rsidRPr="00A913FE" w:rsidRDefault="0017573E" w:rsidP="00F2221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17573E" w:rsidRPr="00A913FE" w:rsidRDefault="00F2221D" w:rsidP="00F22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</w:tc>
        <w:tc>
          <w:tcPr>
            <w:tcW w:w="560" w:type="dxa"/>
            <w:shd w:val="clear" w:color="auto" w:fill="auto"/>
          </w:tcPr>
          <w:p w:rsidR="0017573E" w:rsidRPr="00A913FE" w:rsidRDefault="0017573E" w:rsidP="00F2221D">
            <w:pPr>
              <w:spacing w:before="60" w:after="60"/>
              <w:ind w:left="-89" w:right="-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17573E" w:rsidRPr="00A913FE" w:rsidRDefault="00F2221D" w:rsidP="00F222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3FE">
              <w:rPr>
                <w:rFonts w:ascii="Times New Roman" w:hAnsi="Times New Roman" w:cs="Times New Roman"/>
                <w:b/>
                <w:sz w:val="18"/>
                <w:szCs w:val="18"/>
              </w:rPr>
              <w:t>Yüzde</w:t>
            </w:r>
          </w:p>
        </w:tc>
      </w:tr>
      <w:tr w:rsidR="00F2221D" w:rsidRPr="00350583" w:rsidTr="0004157E">
        <w:tc>
          <w:tcPr>
            <w:tcW w:w="426" w:type="dxa"/>
          </w:tcPr>
          <w:p w:rsidR="00F2221D" w:rsidRPr="00941735" w:rsidRDefault="00F2221D" w:rsidP="00F222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F2221D" w:rsidRPr="00D3491E" w:rsidRDefault="00F2221D" w:rsidP="00F2221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Üniversitemizin Türkiye’deki diğer üniversiteler içindeki konumundan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F2221D" w:rsidRPr="00AB41A8" w:rsidRDefault="00F2221D" w:rsidP="00F2221D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0,31</w:t>
            </w:r>
          </w:p>
        </w:tc>
        <w:tc>
          <w:tcPr>
            <w:tcW w:w="560" w:type="dxa"/>
          </w:tcPr>
          <w:p w:rsidR="00F2221D" w:rsidRPr="00AB41A8" w:rsidRDefault="00F2221D" w:rsidP="00F2221D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F2221D" w:rsidRPr="00AB41A8" w:rsidRDefault="00F2221D" w:rsidP="00F22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0,43</w:t>
            </w:r>
          </w:p>
        </w:tc>
      </w:tr>
      <w:tr w:rsidR="00F2221D" w:rsidRPr="00350583" w:rsidTr="0004157E">
        <w:tc>
          <w:tcPr>
            <w:tcW w:w="426" w:type="dxa"/>
          </w:tcPr>
          <w:p w:rsidR="00F2221D" w:rsidRPr="00941735" w:rsidRDefault="00F2221D" w:rsidP="00F2221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F2221D" w:rsidRPr="00D3491E" w:rsidRDefault="00F2221D" w:rsidP="00F2221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Yurtiçi ve yurtdışı bilimsel toplantı, </w:t>
            </w:r>
            <w:proofErr w:type="gramStart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>sempozyum</w:t>
            </w:r>
            <w:proofErr w:type="gramEnd"/>
            <w:r w:rsidRPr="00D3491E">
              <w:rPr>
                <w:rFonts w:ascii="Times New Roman" w:hAnsi="Times New Roman" w:cs="Times New Roman"/>
                <w:sz w:val="16"/>
                <w:szCs w:val="16"/>
              </w:rPr>
              <w:t xml:space="preserve"> ve kongrelere katılım için verilen desteklerden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F2221D" w:rsidRPr="00AB41A8" w:rsidRDefault="00F2221D" w:rsidP="00F2221D">
            <w:pPr>
              <w:spacing w:before="40" w:after="4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0,30</w:t>
            </w:r>
          </w:p>
        </w:tc>
        <w:tc>
          <w:tcPr>
            <w:tcW w:w="560" w:type="dxa"/>
          </w:tcPr>
          <w:p w:rsidR="00F2221D" w:rsidRPr="00AB41A8" w:rsidRDefault="00F2221D" w:rsidP="00F2221D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F2221D" w:rsidRPr="00AB41A8" w:rsidRDefault="00F2221D" w:rsidP="00F222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B41A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0,40</w:t>
            </w:r>
          </w:p>
        </w:tc>
      </w:tr>
    </w:tbl>
    <w:p w:rsidR="0017573E" w:rsidRPr="0017573E" w:rsidRDefault="0017573E" w:rsidP="000900CA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17573E" w:rsidRPr="0017573E" w:rsidSect="005E6F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844"/>
    <w:multiLevelType w:val="hybridMultilevel"/>
    <w:tmpl w:val="082E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3080"/>
    <w:multiLevelType w:val="hybridMultilevel"/>
    <w:tmpl w:val="BCB2A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E"/>
    <w:rsid w:val="00015877"/>
    <w:rsid w:val="000244C1"/>
    <w:rsid w:val="0004157E"/>
    <w:rsid w:val="00067382"/>
    <w:rsid w:val="000773D2"/>
    <w:rsid w:val="000900CA"/>
    <w:rsid w:val="000C65E2"/>
    <w:rsid w:val="000E1644"/>
    <w:rsid w:val="000F4F94"/>
    <w:rsid w:val="00101A54"/>
    <w:rsid w:val="00134F03"/>
    <w:rsid w:val="0013627E"/>
    <w:rsid w:val="001441DD"/>
    <w:rsid w:val="0017228B"/>
    <w:rsid w:val="0017573E"/>
    <w:rsid w:val="001A1FB1"/>
    <w:rsid w:val="001D1AA0"/>
    <w:rsid w:val="001D4E06"/>
    <w:rsid w:val="001D55D4"/>
    <w:rsid w:val="001D77AB"/>
    <w:rsid w:val="0020528B"/>
    <w:rsid w:val="00244F69"/>
    <w:rsid w:val="00267500"/>
    <w:rsid w:val="002A17E0"/>
    <w:rsid w:val="002C385F"/>
    <w:rsid w:val="002C5820"/>
    <w:rsid w:val="002F5EF8"/>
    <w:rsid w:val="00302D28"/>
    <w:rsid w:val="00305DBB"/>
    <w:rsid w:val="00324FE6"/>
    <w:rsid w:val="00340C98"/>
    <w:rsid w:val="00347BCB"/>
    <w:rsid w:val="00350583"/>
    <w:rsid w:val="00382061"/>
    <w:rsid w:val="0039057D"/>
    <w:rsid w:val="003A26C9"/>
    <w:rsid w:val="003C0F84"/>
    <w:rsid w:val="00404CDE"/>
    <w:rsid w:val="00430EF1"/>
    <w:rsid w:val="00454A06"/>
    <w:rsid w:val="00475DFE"/>
    <w:rsid w:val="0048482D"/>
    <w:rsid w:val="004A528C"/>
    <w:rsid w:val="004C22D4"/>
    <w:rsid w:val="004D1460"/>
    <w:rsid w:val="004F4C26"/>
    <w:rsid w:val="00501A3A"/>
    <w:rsid w:val="005365E7"/>
    <w:rsid w:val="00537E76"/>
    <w:rsid w:val="0055674F"/>
    <w:rsid w:val="005905F6"/>
    <w:rsid w:val="00596FF0"/>
    <w:rsid w:val="005A226E"/>
    <w:rsid w:val="005A7BD2"/>
    <w:rsid w:val="005B6697"/>
    <w:rsid w:val="005B73D7"/>
    <w:rsid w:val="005C7A79"/>
    <w:rsid w:val="005E6F72"/>
    <w:rsid w:val="00644A60"/>
    <w:rsid w:val="006852A8"/>
    <w:rsid w:val="006C1644"/>
    <w:rsid w:val="006C1EAE"/>
    <w:rsid w:val="006D00FE"/>
    <w:rsid w:val="006D553C"/>
    <w:rsid w:val="006D67FD"/>
    <w:rsid w:val="006E6BC8"/>
    <w:rsid w:val="006F3298"/>
    <w:rsid w:val="0070291D"/>
    <w:rsid w:val="0071128B"/>
    <w:rsid w:val="00714356"/>
    <w:rsid w:val="00720012"/>
    <w:rsid w:val="0072602C"/>
    <w:rsid w:val="00764FB1"/>
    <w:rsid w:val="00780059"/>
    <w:rsid w:val="0078057A"/>
    <w:rsid w:val="00787658"/>
    <w:rsid w:val="00797B7C"/>
    <w:rsid w:val="007A5EF5"/>
    <w:rsid w:val="007C38D0"/>
    <w:rsid w:val="007E19E1"/>
    <w:rsid w:val="007F2B7C"/>
    <w:rsid w:val="007F6E8A"/>
    <w:rsid w:val="00800EEB"/>
    <w:rsid w:val="008052E9"/>
    <w:rsid w:val="00820571"/>
    <w:rsid w:val="008205FC"/>
    <w:rsid w:val="00824D41"/>
    <w:rsid w:val="00836A8C"/>
    <w:rsid w:val="00867322"/>
    <w:rsid w:val="008F5DE4"/>
    <w:rsid w:val="00941735"/>
    <w:rsid w:val="009443B8"/>
    <w:rsid w:val="009562DC"/>
    <w:rsid w:val="00957A20"/>
    <w:rsid w:val="009635CE"/>
    <w:rsid w:val="009924FC"/>
    <w:rsid w:val="00993531"/>
    <w:rsid w:val="00997AED"/>
    <w:rsid w:val="009B320F"/>
    <w:rsid w:val="009B5195"/>
    <w:rsid w:val="009D5513"/>
    <w:rsid w:val="009E000E"/>
    <w:rsid w:val="009E3264"/>
    <w:rsid w:val="009E4613"/>
    <w:rsid w:val="009F75EA"/>
    <w:rsid w:val="00A01D9E"/>
    <w:rsid w:val="00A02F25"/>
    <w:rsid w:val="00A14AAD"/>
    <w:rsid w:val="00A16076"/>
    <w:rsid w:val="00A176AB"/>
    <w:rsid w:val="00A41E2D"/>
    <w:rsid w:val="00A913FE"/>
    <w:rsid w:val="00AA42BC"/>
    <w:rsid w:val="00AB41A8"/>
    <w:rsid w:val="00AC4D28"/>
    <w:rsid w:val="00AD0743"/>
    <w:rsid w:val="00B22019"/>
    <w:rsid w:val="00B444A1"/>
    <w:rsid w:val="00B566C1"/>
    <w:rsid w:val="00B6547B"/>
    <w:rsid w:val="00B73F80"/>
    <w:rsid w:val="00B97545"/>
    <w:rsid w:val="00BB113B"/>
    <w:rsid w:val="00BC146C"/>
    <w:rsid w:val="00BE47CE"/>
    <w:rsid w:val="00BE7390"/>
    <w:rsid w:val="00BF0A1C"/>
    <w:rsid w:val="00BF7A0B"/>
    <w:rsid w:val="00C062C0"/>
    <w:rsid w:val="00C31A21"/>
    <w:rsid w:val="00C330F3"/>
    <w:rsid w:val="00C379FA"/>
    <w:rsid w:val="00C424D5"/>
    <w:rsid w:val="00C4571D"/>
    <w:rsid w:val="00C67185"/>
    <w:rsid w:val="00C72015"/>
    <w:rsid w:val="00CB3FDF"/>
    <w:rsid w:val="00CD381F"/>
    <w:rsid w:val="00CE51E4"/>
    <w:rsid w:val="00D025BD"/>
    <w:rsid w:val="00D05CB0"/>
    <w:rsid w:val="00D273C4"/>
    <w:rsid w:val="00D3491E"/>
    <w:rsid w:val="00D44D91"/>
    <w:rsid w:val="00D47712"/>
    <w:rsid w:val="00D47B28"/>
    <w:rsid w:val="00D52EBB"/>
    <w:rsid w:val="00D56F24"/>
    <w:rsid w:val="00DD03FB"/>
    <w:rsid w:val="00DE17C7"/>
    <w:rsid w:val="00DE7FCB"/>
    <w:rsid w:val="00DF0C5B"/>
    <w:rsid w:val="00DF67FD"/>
    <w:rsid w:val="00E14A51"/>
    <w:rsid w:val="00E14D3A"/>
    <w:rsid w:val="00E46762"/>
    <w:rsid w:val="00EC74F8"/>
    <w:rsid w:val="00EE5FA4"/>
    <w:rsid w:val="00EF3C9F"/>
    <w:rsid w:val="00F055E2"/>
    <w:rsid w:val="00F1432D"/>
    <w:rsid w:val="00F17E7F"/>
    <w:rsid w:val="00F2221D"/>
    <w:rsid w:val="00F24072"/>
    <w:rsid w:val="00F2782A"/>
    <w:rsid w:val="00F35006"/>
    <w:rsid w:val="00F36013"/>
    <w:rsid w:val="00F7379F"/>
    <w:rsid w:val="00FA2641"/>
    <w:rsid w:val="00FA61E2"/>
    <w:rsid w:val="00FC0ACD"/>
    <w:rsid w:val="00FC6895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C12E-B323-4FF1-B019-7EC739C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Windows Kullanıcısı</cp:lastModifiedBy>
  <cp:revision>2</cp:revision>
  <cp:lastPrinted>2020-12-14T18:27:00Z</cp:lastPrinted>
  <dcterms:created xsi:type="dcterms:W3CDTF">2021-03-25T07:11:00Z</dcterms:created>
  <dcterms:modified xsi:type="dcterms:W3CDTF">2021-03-25T07:11:00Z</dcterms:modified>
</cp:coreProperties>
</file>