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rPr>
              <w:drawing>
                <wp:inline distT="0" distB="0" distL="0" distR="0" wp14:anchorId="6312FB62" wp14:editId="4C84C960">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0CDE3D0C" w:rsidR="00575FFC" w:rsidRPr="006F2601" w:rsidRDefault="00164B1E" w:rsidP="001B370A">
            <w:pPr>
              <w:pStyle w:val="TableParagraph"/>
              <w:ind w:left="1270" w:right="1392"/>
              <w:jc w:val="center"/>
              <w:rPr>
                <w:b/>
                <w:color w:val="000000" w:themeColor="text1"/>
                <w:sz w:val="26"/>
              </w:rPr>
            </w:pPr>
            <w:proofErr w:type="spellStart"/>
            <w:r>
              <w:rPr>
                <w:b/>
                <w:color w:val="EE0000"/>
                <w:sz w:val="28"/>
                <w:szCs w:val="24"/>
              </w:rPr>
              <w:t>Çavdarhisar</w:t>
            </w:r>
            <w:proofErr w:type="spellEnd"/>
            <w:r>
              <w:rPr>
                <w:b/>
                <w:color w:val="EE0000"/>
                <w:sz w:val="28"/>
                <w:szCs w:val="24"/>
              </w:rPr>
              <w:t xml:space="preserve"> Meslek Yüksekokulu</w:t>
            </w:r>
            <w:r w:rsidR="00575FFC" w:rsidRPr="005A0B2A">
              <w:rPr>
                <w:b/>
                <w:color w:val="EE0000"/>
                <w:sz w:val="20"/>
              </w:rPr>
              <w:t xml:space="preserve">  </w:t>
            </w:r>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Tarihi:</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proofErr w:type="gramStart"/>
            <w:r w:rsidRPr="00575FFC">
              <w:rPr>
                <w:rFonts w:ascii="Calibri" w:eastAsia="Times New Roman" w:hAnsi="Calibri" w:cs="Calibri"/>
                <w:b/>
                <w:bCs/>
                <w:color w:val="000000"/>
                <w:lang w:bidi="ar-SA"/>
              </w:rPr>
              <w:t>Tarih: …./….</w:t>
            </w:r>
            <w:proofErr w:type="gramEnd"/>
            <w:r w:rsidRPr="00575FFC">
              <w:rPr>
                <w:rFonts w:ascii="Calibri" w:eastAsia="Times New Roman" w:hAnsi="Calibri" w:cs="Calibri"/>
                <w:b/>
                <w:bCs/>
                <w:color w:val="000000"/>
                <w:lang w:bidi="ar-SA"/>
              </w:rPr>
              <w:t>/</w:t>
            </w:r>
            <w:proofErr w:type="gramStart"/>
            <w:r w:rsidRPr="00575FFC">
              <w:rPr>
                <w:rFonts w:ascii="Calibri" w:eastAsia="Times New Roman" w:hAnsi="Calibri" w:cs="Calibri"/>
                <w:b/>
                <w:bCs/>
                <w:color w:val="000000"/>
                <w:lang w:bidi="ar-SA"/>
              </w:rPr>
              <w:t>20..</w:t>
            </w:r>
            <w:proofErr w:type="gramEnd"/>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 xml:space="preserve">Risk </w:t>
            </w:r>
            <w:proofErr w:type="gramStart"/>
            <w:r w:rsidRPr="00575FFC">
              <w:rPr>
                <w:rFonts w:ascii="Times New Roman" w:eastAsia="Times New Roman" w:hAnsi="Times New Roman" w:cs="Times New Roman"/>
                <w:b/>
                <w:bCs/>
                <w:color w:val="000000"/>
                <w:lang w:bidi="ar-SA"/>
              </w:rPr>
              <w:t>Puanı( R</w:t>
            </w:r>
            <w:proofErr w:type="gramEnd"/>
            <w:r w:rsidRPr="00575FFC">
              <w:rPr>
                <w:rFonts w:ascii="Times New Roman" w:eastAsia="Times New Roman" w:hAnsi="Times New Roman" w:cs="Times New Roman"/>
                <w:b/>
                <w:bCs/>
                <w:color w:val="000000"/>
                <w:lang w:bidi="ar-SA"/>
              </w:rPr>
              <w:t xml:space="preserve">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NOT :</w:t>
            </w:r>
            <w:proofErr w:type="gramEnd"/>
            <w:r w:rsidRPr="00575FFC">
              <w:rPr>
                <w:rFonts w:ascii="Calibri" w:eastAsia="Times New Roman" w:hAnsi="Calibri" w:cs="Calibri"/>
                <w:b/>
                <w:bCs/>
                <w:color w:val="000000"/>
                <w:lang w:bidi="ar-SA"/>
              </w:rPr>
              <w:t xml:space="preserve"> </w:t>
            </w:r>
            <w:r w:rsidRPr="00575FFC">
              <w:rPr>
                <w:rFonts w:ascii="Calibri" w:eastAsia="Times New Roman" w:hAnsi="Calibri" w:cs="Calibri"/>
                <w:color w:val="000000"/>
                <w:lang w:bidi="ar-SA"/>
              </w:rPr>
              <w:t>Yıl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FC"/>
    <w:rsid w:val="00164B1E"/>
    <w:rsid w:val="001722DC"/>
    <w:rsid w:val="001A43A0"/>
    <w:rsid w:val="00575FFC"/>
    <w:rsid w:val="00590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Serkan Ak</cp:lastModifiedBy>
  <cp:revision>2</cp:revision>
  <dcterms:created xsi:type="dcterms:W3CDTF">2025-05-07T07:20:00Z</dcterms:created>
  <dcterms:modified xsi:type="dcterms:W3CDTF">2025-05-20T08:38:00Z</dcterms:modified>
</cp:coreProperties>
</file>