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F3F" w:rsidRDefault="00CE1F3F">
      <w:pPr>
        <w:pStyle w:val="KonuBal"/>
        <w:rPr>
          <w:sz w:val="2"/>
        </w:rPr>
      </w:pPr>
    </w:p>
    <w:tbl>
      <w:tblPr>
        <w:tblStyle w:val="TableNormal"/>
        <w:tblW w:w="0" w:type="auto"/>
        <w:tblInd w:w="109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1357"/>
        <w:gridCol w:w="6289"/>
      </w:tblGrid>
      <w:tr w:rsidR="00CE1F3F">
        <w:trPr>
          <w:trHeight w:val="1834"/>
        </w:trPr>
        <w:tc>
          <w:tcPr>
            <w:tcW w:w="1815" w:type="dxa"/>
            <w:tcBorders>
              <w:left w:val="thinThickMediumGap" w:sz="3" w:space="0" w:color="EEEEEE"/>
              <w:bottom w:val="thinThickThinSmallGap" w:sz="12" w:space="0" w:color="9F9F9F"/>
            </w:tcBorders>
          </w:tcPr>
          <w:p w:rsidR="00CE1F3F" w:rsidRDefault="00CE1F3F">
            <w:pPr>
              <w:pStyle w:val="TableParagraph"/>
              <w:spacing w:before="9"/>
              <w:ind w:left="0"/>
              <w:rPr>
                <w:sz w:val="3"/>
              </w:rPr>
            </w:pPr>
          </w:p>
          <w:p w:rsidR="006560D3" w:rsidRPr="006560D3" w:rsidRDefault="006560D3" w:rsidP="006560D3">
            <w:pPr>
              <w:pStyle w:val="TableParagraph"/>
              <w:ind w:left="45" w:right="-44"/>
              <w:rPr>
                <w:sz w:val="20"/>
              </w:rPr>
            </w:pPr>
            <w:r w:rsidRPr="006560D3">
              <w:rPr>
                <w:sz w:val="20"/>
              </w:rPr>
              <w:drawing>
                <wp:inline distT="0" distB="0" distL="0" distR="0">
                  <wp:extent cx="1104900" cy="1066800"/>
                  <wp:effectExtent l="0" t="0" r="0" b="0"/>
                  <wp:docPr id="2" name="Resim 2" descr="C:\Users\HP ProOne 440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 ProOne 440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F3F" w:rsidRDefault="00CE1F3F">
            <w:pPr>
              <w:pStyle w:val="TableParagraph"/>
              <w:ind w:left="45" w:right="-44"/>
              <w:rPr>
                <w:sz w:val="20"/>
              </w:rPr>
            </w:pPr>
          </w:p>
        </w:tc>
        <w:tc>
          <w:tcPr>
            <w:tcW w:w="7646" w:type="dxa"/>
            <w:gridSpan w:val="2"/>
            <w:tcBorders>
              <w:bottom w:val="thinThickThinSmallGap" w:sz="12" w:space="0" w:color="9F9F9F"/>
            </w:tcBorders>
          </w:tcPr>
          <w:p w:rsidR="00CE1F3F" w:rsidRDefault="00910761">
            <w:pPr>
              <w:pStyle w:val="TableParagraph"/>
              <w:spacing w:before="187"/>
              <w:ind w:left="4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T.C.</w:t>
            </w:r>
          </w:p>
          <w:p w:rsidR="00CE1F3F" w:rsidRDefault="006560D3">
            <w:pPr>
              <w:pStyle w:val="TableParagraph"/>
              <w:spacing w:before="122"/>
              <w:ind w:left="42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KÜTAHYA DUMLUPINAR ÜNİVERSİTESİ</w:t>
            </w:r>
          </w:p>
          <w:p w:rsidR="006560D3" w:rsidRDefault="006560D3">
            <w:pPr>
              <w:pStyle w:val="TableParagraph"/>
              <w:spacing w:before="122"/>
              <w:ind w:left="42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LİSANSÜSTÜ EĞİTİM ENSTİTÜSÜ MÜDÜRLÜĞÜ</w:t>
            </w:r>
          </w:p>
          <w:p w:rsidR="00CE1F3F" w:rsidRDefault="00910761">
            <w:pPr>
              <w:pStyle w:val="TableParagraph"/>
              <w:spacing w:before="120"/>
              <w:ind w:left="42" w:right="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BİRİM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GÖREV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TANIMLARI</w:t>
            </w:r>
          </w:p>
        </w:tc>
      </w:tr>
      <w:tr w:rsidR="00CE1F3F">
        <w:trPr>
          <w:trHeight w:val="415"/>
        </w:trPr>
        <w:tc>
          <w:tcPr>
            <w:tcW w:w="3172" w:type="dxa"/>
            <w:gridSpan w:val="2"/>
            <w:tcBorders>
              <w:top w:val="thinThickThinSmallGap" w:sz="12" w:space="0" w:color="9F9F9F"/>
              <w:left w:val="double" w:sz="2" w:space="0" w:color="EEEEEE"/>
              <w:right w:val="double" w:sz="2" w:space="0" w:color="EEEEEE"/>
            </w:tcBorders>
          </w:tcPr>
          <w:p w:rsidR="00CE1F3F" w:rsidRDefault="00910761">
            <w:pPr>
              <w:pStyle w:val="TableParagraph"/>
              <w:spacing w:before="112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BİRİM:</w:t>
            </w:r>
          </w:p>
        </w:tc>
        <w:tc>
          <w:tcPr>
            <w:tcW w:w="6289" w:type="dxa"/>
            <w:tcBorders>
              <w:top w:val="thinThickThinSmallGap" w:sz="12" w:space="0" w:color="9F9F9F"/>
              <w:left w:val="double" w:sz="2" w:space="0" w:color="EEEEEE"/>
            </w:tcBorders>
          </w:tcPr>
          <w:p w:rsidR="00CE1F3F" w:rsidRDefault="006560D3">
            <w:pPr>
              <w:pStyle w:val="TableParagraph"/>
              <w:spacing w:before="119"/>
              <w:ind w:left="239"/>
              <w:rPr>
                <w:sz w:val="23"/>
              </w:rPr>
            </w:pPr>
            <w:r>
              <w:rPr>
                <w:sz w:val="23"/>
              </w:rPr>
              <w:t>Lisansüstü</w:t>
            </w:r>
            <w:r w:rsidR="00910761">
              <w:rPr>
                <w:spacing w:val="-7"/>
                <w:sz w:val="23"/>
              </w:rPr>
              <w:t xml:space="preserve"> </w:t>
            </w:r>
            <w:r w:rsidR="00910761">
              <w:rPr>
                <w:sz w:val="23"/>
              </w:rPr>
              <w:t>Enstitüsü</w:t>
            </w:r>
            <w:r w:rsidR="00910761">
              <w:rPr>
                <w:spacing w:val="-4"/>
                <w:sz w:val="23"/>
              </w:rPr>
              <w:t xml:space="preserve"> </w:t>
            </w:r>
            <w:r w:rsidR="00910761">
              <w:rPr>
                <w:spacing w:val="-2"/>
                <w:sz w:val="23"/>
              </w:rPr>
              <w:t>Müdürlüğü</w:t>
            </w:r>
          </w:p>
        </w:tc>
      </w:tr>
      <w:tr w:rsidR="00CE1F3F">
        <w:trPr>
          <w:trHeight w:val="395"/>
        </w:trPr>
        <w:tc>
          <w:tcPr>
            <w:tcW w:w="3172" w:type="dxa"/>
            <w:gridSpan w:val="2"/>
            <w:tcBorders>
              <w:left w:val="double" w:sz="2" w:space="0" w:color="EEEEEE"/>
              <w:right w:val="double" w:sz="2" w:space="0" w:color="EEEEEE"/>
            </w:tcBorders>
          </w:tcPr>
          <w:p w:rsidR="00CE1F3F" w:rsidRDefault="00910761">
            <w:pPr>
              <w:pStyle w:val="TableParagraph"/>
              <w:spacing w:before="92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2"/>
                <w:sz w:val="24"/>
              </w:rPr>
              <w:t xml:space="preserve"> BİRİM:</w:t>
            </w:r>
          </w:p>
        </w:tc>
        <w:tc>
          <w:tcPr>
            <w:tcW w:w="6289" w:type="dxa"/>
            <w:tcBorders>
              <w:left w:val="double" w:sz="2" w:space="0" w:color="EEEEEE"/>
            </w:tcBorders>
          </w:tcPr>
          <w:p w:rsidR="00CE1F3F" w:rsidRDefault="00910761">
            <w:pPr>
              <w:pStyle w:val="TableParagraph"/>
              <w:spacing w:before="49"/>
              <w:ind w:left="239"/>
              <w:rPr>
                <w:sz w:val="23"/>
              </w:rPr>
            </w:pPr>
            <w:r>
              <w:rPr>
                <w:spacing w:val="-2"/>
                <w:sz w:val="23"/>
              </w:rPr>
              <w:t>Rektörlük</w:t>
            </w:r>
          </w:p>
        </w:tc>
      </w:tr>
      <w:tr w:rsidR="00CE1F3F">
        <w:trPr>
          <w:trHeight w:val="1617"/>
        </w:trPr>
        <w:tc>
          <w:tcPr>
            <w:tcW w:w="3172" w:type="dxa"/>
            <w:gridSpan w:val="2"/>
            <w:tcBorders>
              <w:left w:val="double" w:sz="2" w:space="0" w:color="EEEEEE"/>
            </w:tcBorders>
          </w:tcPr>
          <w:p w:rsidR="00CE1F3F" w:rsidRDefault="00CE1F3F">
            <w:pPr>
              <w:pStyle w:val="TableParagraph"/>
              <w:ind w:left="0"/>
              <w:rPr>
                <w:sz w:val="24"/>
              </w:rPr>
            </w:pPr>
          </w:p>
          <w:p w:rsidR="00CE1F3F" w:rsidRDefault="00CE1F3F">
            <w:pPr>
              <w:pStyle w:val="TableParagraph"/>
              <w:spacing w:before="150"/>
              <w:ind w:left="0"/>
              <w:rPr>
                <w:sz w:val="24"/>
              </w:rPr>
            </w:pPr>
          </w:p>
          <w:p w:rsidR="00CE1F3F" w:rsidRDefault="00910761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TANIMI:</w:t>
            </w:r>
          </w:p>
        </w:tc>
        <w:tc>
          <w:tcPr>
            <w:tcW w:w="6289" w:type="dxa"/>
          </w:tcPr>
          <w:p w:rsidR="00CE1F3F" w:rsidRDefault="006560D3">
            <w:pPr>
              <w:pStyle w:val="TableParagraph"/>
              <w:ind w:left="239" w:right="85"/>
              <w:jc w:val="both"/>
              <w:rPr>
                <w:sz w:val="23"/>
              </w:rPr>
            </w:pPr>
            <w:r>
              <w:rPr>
                <w:sz w:val="23"/>
              </w:rPr>
              <w:t xml:space="preserve">Dumlupınar </w:t>
            </w:r>
            <w:r w:rsidR="00910761">
              <w:rPr>
                <w:sz w:val="23"/>
              </w:rPr>
              <w:t xml:space="preserve">Üniversitesi üst yönetimi tarafından belirlenen amaç ve ilkelere uygun olarak; Enstitünün </w:t>
            </w:r>
            <w:proofErr w:type="gramStart"/>
            <w:r w:rsidR="00910761">
              <w:rPr>
                <w:sz w:val="23"/>
              </w:rPr>
              <w:t>vizyonu</w:t>
            </w:r>
            <w:proofErr w:type="gramEnd"/>
            <w:r w:rsidR="00910761">
              <w:rPr>
                <w:sz w:val="23"/>
              </w:rPr>
              <w:t xml:space="preserve"> ve misyonu doğrultusunda eğitim ve öğretimi gerçekleştirmek için gerekli tüm faaliyetlerinin etkinlik ve verimlilik ilkelerine uygun olarak yürütülmesi</w:t>
            </w:r>
            <w:r w:rsidR="00910761">
              <w:rPr>
                <w:sz w:val="23"/>
              </w:rPr>
              <w:t xml:space="preserve"> amacıyla çalışmaları yapmak, planlamak, yönlendirmek, koordine etmek ve denetlemek.</w:t>
            </w:r>
          </w:p>
        </w:tc>
      </w:tr>
      <w:tr w:rsidR="00CE1F3F">
        <w:trPr>
          <w:trHeight w:val="397"/>
        </w:trPr>
        <w:tc>
          <w:tcPr>
            <w:tcW w:w="9461" w:type="dxa"/>
            <w:gridSpan w:val="3"/>
            <w:tcBorders>
              <w:left w:val="double" w:sz="2" w:space="0" w:color="EEEEEE"/>
            </w:tcBorders>
          </w:tcPr>
          <w:p w:rsidR="00CE1F3F" w:rsidRDefault="00910761">
            <w:pPr>
              <w:pStyle w:val="TableParagraph"/>
              <w:spacing w:before="95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</w:tr>
      <w:tr w:rsidR="00CE1F3F">
        <w:trPr>
          <w:trHeight w:val="9785"/>
        </w:trPr>
        <w:tc>
          <w:tcPr>
            <w:tcW w:w="9461" w:type="dxa"/>
            <w:gridSpan w:val="3"/>
            <w:tcBorders>
              <w:left w:val="double" w:sz="2" w:space="0" w:color="EEEEEE"/>
            </w:tcBorders>
          </w:tcPr>
          <w:p w:rsidR="00CE1F3F" w:rsidRDefault="00910761">
            <w:pPr>
              <w:pStyle w:val="TableParagraph"/>
              <w:numPr>
                <w:ilvl w:val="0"/>
                <w:numId w:val="2"/>
              </w:numPr>
              <w:tabs>
                <w:tab w:val="left" w:pos="861"/>
              </w:tabs>
              <w:spacing w:before="261" w:line="223" w:lineRule="auto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Enstitü Kurullarına başkanlık etmek, Enstitü Kurullarının kararlarını uygulamak ve Enstitü birimleri arasında düzenli çalışmayı sağlamak,</w:t>
            </w:r>
          </w:p>
          <w:p w:rsidR="00CE1F3F" w:rsidRDefault="00910761">
            <w:pPr>
              <w:pStyle w:val="TableParagraph"/>
              <w:numPr>
                <w:ilvl w:val="0"/>
                <w:numId w:val="2"/>
              </w:numPr>
              <w:tabs>
                <w:tab w:val="left" w:pos="861"/>
              </w:tabs>
              <w:spacing w:before="252" w:line="225" w:lineRule="auto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Her öğretim yılı sonunda ve istendiğinde Enstitünün genel durumu ve işleyişi hakkında Rektöre rapor vermek,</w:t>
            </w:r>
          </w:p>
          <w:p w:rsidR="00CE1F3F" w:rsidRDefault="00910761">
            <w:pPr>
              <w:pStyle w:val="TableParagraph"/>
              <w:numPr>
                <w:ilvl w:val="0"/>
                <w:numId w:val="2"/>
              </w:numPr>
              <w:tabs>
                <w:tab w:val="left" w:pos="860"/>
              </w:tabs>
              <w:spacing w:before="239"/>
              <w:ind w:left="860" w:hanging="359"/>
              <w:rPr>
                <w:sz w:val="23"/>
              </w:rPr>
            </w:pPr>
            <w:r>
              <w:rPr>
                <w:sz w:val="23"/>
              </w:rPr>
              <w:t>Enstitünün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ödenek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kadro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ihtiyaçlarını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gerekçesi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birlikte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rektörlüğe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bildirmek,</w:t>
            </w:r>
          </w:p>
          <w:p w:rsidR="00CE1F3F" w:rsidRDefault="00910761">
            <w:pPr>
              <w:pStyle w:val="TableParagraph"/>
              <w:numPr>
                <w:ilvl w:val="0"/>
                <w:numId w:val="2"/>
              </w:numPr>
              <w:tabs>
                <w:tab w:val="left" w:pos="861"/>
              </w:tabs>
              <w:spacing w:before="250" w:line="225" w:lineRule="auto"/>
              <w:ind w:right="100"/>
              <w:jc w:val="both"/>
              <w:rPr>
                <w:sz w:val="23"/>
              </w:rPr>
            </w:pPr>
            <w:r>
              <w:rPr>
                <w:sz w:val="23"/>
              </w:rPr>
              <w:t>Enstitü bütçesi ile ilgili öneriyi enstitü yönetim kurulunun d</w:t>
            </w:r>
            <w:r>
              <w:rPr>
                <w:sz w:val="23"/>
              </w:rPr>
              <w:t>a görüşünü aldıktan sonra Rektörlüğe sunmak,</w:t>
            </w:r>
          </w:p>
          <w:p w:rsidR="00CE1F3F" w:rsidRDefault="00910761">
            <w:pPr>
              <w:pStyle w:val="TableParagraph"/>
              <w:numPr>
                <w:ilvl w:val="0"/>
                <w:numId w:val="2"/>
              </w:numPr>
              <w:tabs>
                <w:tab w:val="left" w:pos="861"/>
              </w:tabs>
              <w:spacing w:before="256" w:line="223" w:lineRule="auto"/>
              <w:ind w:right="103"/>
              <w:jc w:val="both"/>
              <w:rPr>
                <w:sz w:val="23"/>
              </w:rPr>
            </w:pPr>
            <w:r>
              <w:rPr>
                <w:sz w:val="23"/>
              </w:rPr>
              <w:t>Enstitünün birimleri ve her düzeydeki personeli üzerinde genel gözetim ve denetim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görevini yapmak,</w:t>
            </w:r>
          </w:p>
          <w:p w:rsidR="00CE1F3F" w:rsidRDefault="00910761">
            <w:pPr>
              <w:pStyle w:val="TableParagraph"/>
              <w:numPr>
                <w:ilvl w:val="0"/>
                <w:numId w:val="2"/>
              </w:numPr>
              <w:tabs>
                <w:tab w:val="left" w:pos="861"/>
              </w:tabs>
              <w:spacing w:before="252" w:line="225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Kanun ve yönetmelikleri ihlal eden yasaklara aykırı olumsuz fiil ve davranışlarda bulunan personel ve öğrenciler</w:t>
            </w:r>
            <w:r>
              <w:rPr>
                <w:sz w:val="23"/>
              </w:rPr>
              <w:t xml:space="preserve"> hakkında disiplin yönetmeliği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gereğince disiplin soruşturması açmak ve sonucunu Rektörlüğe göndermek,</w:t>
            </w:r>
          </w:p>
          <w:p w:rsidR="00CE1F3F" w:rsidRDefault="00910761">
            <w:pPr>
              <w:pStyle w:val="TableParagraph"/>
              <w:numPr>
                <w:ilvl w:val="0"/>
                <w:numId w:val="2"/>
              </w:numPr>
              <w:tabs>
                <w:tab w:val="left" w:pos="861"/>
              </w:tabs>
              <w:spacing w:before="258" w:line="223" w:lineRule="auto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Birimin Harcama Yetkilisi olarak Enstitü bütçesinden harcama yapmak üzere görevlilere harcama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talimatı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vermek.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Verilen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harcama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talimatının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kanun,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tüzük,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yönetmelik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mevzuat hükümlerine uygun olmasını, ödeneklerin ekonomik ve verimli kullanılmasını sağlamak,</w:t>
            </w:r>
          </w:p>
          <w:p w:rsidR="00CE1F3F" w:rsidRDefault="00910761">
            <w:pPr>
              <w:pStyle w:val="TableParagraph"/>
              <w:numPr>
                <w:ilvl w:val="0"/>
                <w:numId w:val="2"/>
              </w:numPr>
              <w:tabs>
                <w:tab w:val="left" w:pos="861"/>
              </w:tabs>
              <w:spacing w:before="258" w:line="225" w:lineRule="auto"/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Enstitünün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bağlı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birimlerinin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öğretim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kapasitesinin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rasyonel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bir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şekilde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kullanılmasını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 geliştirilmesini, gerektiği zaman güvenlik önlemlerinin alınmasını, öğrencilere gerekli sosyal hizmetlerin sağlanmasını, eğitim-öğretim, bilimsel araştırma ve yayını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faaliyetlerinin düzenli bir şekilde yürütülmesini, bütün faaliyetlerin gözetim ve denet</w:t>
            </w:r>
            <w:r>
              <w:rPr>
                <w:sz w:val="23"/>
              </w:rPr>
              <w:t>iminin yapılmasını, takip ve kontrol edilmesi ve sonuçlarının alınmasını sağlamak,</w:t>
            </w:r>
          </w:p>
          <w:p w:rsidR="00CE1F3F" w:rsidRDefault="00910761">
            <w:pPr>
              <w:pStyle w:val="TableParagraph"/>
              <w:numPr>
                <w:ilvl w:val="0"/>
                <w:numId w:val="2"/>
              </w:numPr>
              <w:tabs>
                <w:tab w:val="left" w:pos="861"/>
              </w:tabs>
              <w:spacing w:before="255" w:line="225" w:lineRule="auto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Taşınırların etkili, ekonomik, verimli ve hukuka uygun olarak edinilmesi ve kullanılması, kontrollerinin yapılması, taşınır kayıt ve kontrol yetkilisi vasıtasıyla kayıtların</w:t>
            </w:r>
            <w:r>
              <w:rPr>
                <w:sz w:val="23"/>
              </w:rPr>
              <w:t xml:space="preserve"> saydam bir şekilde tutulması ve hazırlanan Yönetim Hesabının rektörlüğe sunulmasını sağlamak,</w:t>
            </w:r>
          </w:p>
          <w:p w:rsidR="00CE1F3F" w:rsidRDefault="00910761">
            <w:pPr>
              <w:pStyle w:val="TableParagraph"/>
              <w:numPr>
                <w:ilvl w:val="0"/>
                <w:numId w:val="2"/>
              </w:numPr>
              <w:tabs>
                <w:tab w:val="left" w:pos="860"/>
              </w:tabs>
              <w:spacing w:before="237"/>
              <w:ind w:left="860" w:hanging="359"/>
              <w:rPr>
                <w:sz w:val="23"/>
              </w:rPr>
            </w:pPr>
            <w:r>
              <w:rPr>
                <w:sz w:val="23"/>
              </w:rPr>
              <w:t>Enstitüde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eğitim-öğretimin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düzenli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şekilde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sürdürülmesini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sağlamak,</w:t>
            </w:r>
          </w:p>
        </w:tc>
      </w:tr>
    </w:tbl>
    <w:p w:rsidR="00CE1F3F" w:rsidRDefault="00CE1F3F">
      <w:pPr>
        <w:pStyle w:val="TableParagraph"/>
        <w:rPr>
          <w:sz w:val="23"/>
        </w:rPr>
        <w:sectPr w:rsidR="00CE1F3F">
          <w:type w:val="continuous"/>
          <w:pgSz w:w="11920" w:h="16850"/>
          <w:pgMar w:top="980" w:right="1133" w:bottom="280" w:left="1133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171"/>
        <w:gridCol w:w="6289"/>
      </w:tblGrid>
      <w:tr w:rsidR="00CE1F3F">
        <w:trPr>
          <w:trHeight w:val="3871"/>
        </w:trPr>
        <w:tc>
          <w:tcPr>
            <w:tcW w:w="9460" w:type="dxa"/>
            <w:gridSpan w:val="2"/>
            <w:tcBorders>
              <w:left w:val="double" w:sz="2" w:space="0" w:color="EEEEEE"/>
            </w:tcBorders>
          </w:tcPr>
          <w:p w:rsidR="00CE1F3F" w:rsidRDefault="00910761">
            <w:pPr>
              <w:pStyle w:val="TableParagraph"/>
              <w:numPr>
                <w:ilvl w:val="0"/>
                <w:numId w:val="1"/>
              </w:numPr>
              <w:tabs>
                <w:tab w:val="left" w:pos="849"/>
              </w:tabs>
              <w:spacing w:before="261" w:line="225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Enstitünün idari ve akademik personeli için ihtiyaç duyulan alanlarda kurs, </w:t>
            </w:r>
            <w:r>
              <w:rPr>
                <w:sz w:val="23"/>
              </w:rPr>
              <w:t>seminer ve konferans gibi etkinlikleri düzenleyerek Enstitünün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sürekli öğrenen bir organizasyon haline gelmesi için çalışmak,</w:t>
            </w:r>
          </w:p>
          <w:p w:rsidR="00CE1F3F" w:rsidRDefault="00910761">
            <w:pPr>
              <w:pStyle w:val="TableParagraph"/>
              <w:numPr>
                <w:ilvl w:val="0"/>
                <w:numId w:val="1"/>
              </w:numPr>
              <w:tabs>
                <w:tab w:val="left" w:pos="848"/>
              </w:tabs>
              <w:spacing w:before="237"/>
              <w:ind w:left="848" w:hanging="359"/>
              <w:rPr>
                <w:sz w:val="23"/>
              </w:rPr>
            </w:pPr>
            <w:r>
              <w:rPr>
                <w:sz w:val="23"/>
              </w:rPr>
              <w:t>Enstitüdeki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programların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akredite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edilmesi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için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gerekli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çalışmaların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yapılmasını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sağlamak,</w:t>
            </w:r>
          </w:p>
          <w:p w:rsidR="00CE1F3F" w:rsidRDefault="00910761">
            <w:pPr>
              <w:pStyle w:val="TableParagraph"/>
              <w:numPr>
                <w:ilvl w:val="0"/>
                <w:numId w:val="1"/>
              </w:numPr>
              <w:tabs>
                <w:tab w:val="left" w:pos="849"/>
              </w:tabs>
              <w:spacing w:before="250" w:line="225" w:lineRule="auto"/>
              <w:ind w:right="123"/>
              <w:jc w:val="both"/>
              <w:rPr>
                <w:sz w:val="23"/>
              </w:rPr>
            </w:pPr>
            <w:r>
              <w:rPr>
                <w:sz w:val="23"/>
              </w:rPr>
              <w:t>Görev ve sorumluluk alanındaki faaliyetlerin mevcut iç kontrol sisteminin tanım ve talimatlarına uygun olarak yürütülmesini sağlamak,</w:t>
            </w:r>
          </w:p>
          <w:p w:rsidR="00CE1F3F" w:rsidRDefault="00910761">
            <w:pPr>
              <w:pStyle w:val="TableParagraph"/>
              <w:numPr>
                <w:ilvl w:val="0"/>
                <w:numId w:val="1"/>
              </w:numPr>
              <w:tabs>
                <w:tab w:val="left" w:pos="848"/>
              </w:tabs>
              <w:spacing w:before="239"/>
              <w:ind w:left="848" w:hanging="359"/>
              <w:rPr>
                <w:sz w:val="23"/>
              </w:rPr>
            </w:pPr>
            <w:r>
              <w:rPr>
                <w:sz w:val="23"/>
              </w:rPr>
              <w:t>Enstitüyü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üst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düzeyde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temsil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etmek,</w:t>
            </w:r>
          </w:p>
          <w:p w:rsidR="00CE1F3F" w:rsidRDefault="00910761">
            <w:pPr>
              <w:pStyle w:val="TableParagraph"/>
              <w:numPr>
                <w:ilvl w:val="0"/>
                <w:numId w:val="1"/>
              </w:numPr>
              <w:tabs>
                <w:tab w:val="left" w:pos="849"/>
              </w:tabs>
              <w:spacing w:before="248" w:line="225" w:lineRule="auto"/>
              <w:ind w:right="122"/>
              <w:jc w:val="both"/>
              <w:rPr>
                <w:sz w:val="23"/>
              </w:rPr>
            </w:pPr>
            <w:r>
              <w:rPr>
                <w:sz w:val="23"/>
              </w:rPr>
              <w:t>Kendisine</w:t>
            </w:r>
            <w:r w:rsidR="006560D3">
              <w:rPr>
                <w:sz w:val="23"/>
              </w:rPr>
              <w:t xml:space="preserve"> 2547 sayılı kanun ve diğer mevzuat ile</w:t>
            </w:r>
            <w:bookmarkStart w:id="0" w:name="_GoBack"/>
            <w:bookmarkEnd w:id="0"/>
            <w:r>
              <w:rPr>
                <w:sz w:val="23"/>
              </w:rPr>
              <w:t xml:space="preserve"> verilen görevler ile verilecek diğer görevlere ilişkin iş ve işlemleri, şeff</w:t>
            </w:r>
            <w:r>
              <w:rPr>
                <w:sz w:val="23"/>
              </w:rPr>
              <w:t>aflık, hesap verilebilirlik ve katılımcılık anlayışıyla yapmak.</w:t>
            </w:r>
          </w:p>
        </w:tc>
      </w:tr>
      <w:tr w:rsidR="00CE1F3F">
        <w:trPr>
          <w:trHeight w:val="331"/>
        </w:trPr>
        <w:tc>
          <w:tcPr>
            <w:tcW w:w="3171" w:type="dxa"/>
            <w:tcBorders>
              <w:left w:val="double" w:sz="2" w:space="0" w:color="EEEEEE"/>
            </w:tcBorders>
          </w:tcPr>
          <w:p w:rsidR="00CE1F3F" w:rsidRDefault="00910761">
            <w:pPr>
              <w:pStyle w:val="TableParagraph"/>
              <w:spacing w:before="48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DİĞER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BİRİMLERLE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İLİŞKİSİ:</w:t>
            </w:r>
          </w:p>
        </w:tc>
        <w:tc>
          <w:tcPr>
            <w:tcW w:w="6289" w:type="dxa"/>
          </w:tcPr>
          <w:p w:rsidR="00CE1F3F" w:rsidRDefault="00910761">
            <w:pPr>
              <w:pStyle w:val="TableParagraph"/>
              <w:spacing w:before="4"/>
              <w:ind w:left="189"/>
              <w:rPr>
                <w:sz w:val="23"/>
              </w:rPr>
            </w:pPr>
            <w:r>
              <w:rPr>
                <w:sz w:val="23"/>
              </w:rPr>
              <w:t>Tüm</w:t>
            </w:r>
            <w:r>
              <w:rPr>
                <w:spacing w:val="-2"/>
                <w:sz w:val="23"/>
              </w:rPr>
              <w:t xml:space="preserve"> Birimler</w:t>
            </w:r>
          </w:p>
        </w:tc>
      </w:tr>
    </w:tbl>
    <w:p w:rsidR="00910761" w:rsidRDefault="00910761"/>
    <w:sectPr w:rsidR="00910761">
      <w:type w:val="continuous"/>
      <w:pgSz w:w="11920" w:h="16850"/>
      <w:pgMar w:top="96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37104"/>
    <w:multiLevelType w:val="hybridMultilevel"/>
    <w:tmpl w:val="C9B6DB7A"/>
    <w:lvl w:ilvl="0" w:tplc="5FE65D6C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866C475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EE9A1826">
      <w:numFmt w:val="bullet"/>
      <w:lvlText w:val="•"/>
      <w:lvlJc w:val="left"/>
      <w:pPr>
        <w:ind w:left="2577" w:hanging="360"/>
      </w:pPr>
      <w:rPr>
        <w:rFonts w:hint="default"/>
        <w:lang w:val="tr-TR" w:eastAsia="en-US" w:bidi="ar-SA"/>
      </w:rPr>
    </w:lvl>
    <w:lvl w:ilvl="3" w:tplc="BB7C28E4">
      <w:numFmt w:val="bullet"/>
      <w:lvlText w:val="•"/>
      <w:lvlJc w:val="left"/>
      <w:pPr>
        <w:ind w:left="3435" w:hanging="360"/>
      </w:pPr>
      <w:rPr>
        <w:rFonts w:hint="default"/>
        <w:lang w:val="tr-TR" w:eastAsia="en-US" w:bidi="ar-SA"/>
      </w:rPr>
    </w:lvl>
    <w:lvl w:ilvl="4" w:tplc="046870AE">
      <w:numFmt w:val="bullet"/>
      <w:lvlText w:val="•"/>
      <w:lvlJc w:val="left"/>
      <w:pPr>
        <w:ind w:left="4294" w:hanging="360"/>
      </w:pPr>
      <w:rPr>
        <w:rFonts w:hint="default"/>
        <w:lang w:val="tr-TR" w:eastAsia="en-US" w:bidi="ar-SA"/>
      </w:rPr>
    </w:lvl>
    <w:lvl w:ilvl="5" w:tplc="41640CC6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7AA2F41A">
      <w:numFmt w:val="bullet"/>
      <w:lvlText w:val="•"/>
      <w:lvlJc w:val="left"/>
      <w:pPr>
        <w:ind w:left="6011" w:hanging="360"/>
      </w:pPr>
      <w:rPr>
        <w:rFonts w:hint="default"/>
        <w:lang w:val="tr-TR" w:eastAsia="en-US" w:bidi="ar-SA"/>
      </w:rPr>
    </w:lvl>
    <w:lvl w:ilvl="7" w:tplc="3ACA9F56">
      <w:numFmt w:val="bullet"/>
      <w:lvlText w:val="•"/>
      <w:lvlJc w:val="left"/>
      <w:pPr>
        <w:ind w:left="6870" w:hanging="360"/>
      </w:pPr>
      <w:rPr>
        <w:rFonts w:hint="default"/>
        <w:lang w:val="tr-TR" w:eastAsia="en-US" w:bidi="ar-SA"/>
      </w:rPr>
    </w:lvl>
    <w:lvl w:ilvl="8" w:tplc="16B44C3C">
      <w:numFmt w:val="bullet"/>
      <w:lvlText w:val="•"/>
      <w:lvlJc w:val="left"/>
      <w:pPr>
        <w:ind w:left="772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9812B28"/>
    <w:multiLevelType w:val="hybridMultilevel"/>
    <w:tmpl w:val="94F29A0A"/>
    <w:lvl w:ilvl="0" w:tplc="E9A4C578">
      <w:numFmt w:val="bullet"/>
      <w:lvlText w:val=""/>
      <w:lvlJc w:val="left"/>
      <w:pPr>
        <w:ind w:left="8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2594FF92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2BA273BE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3" w:tplc="A47A8A26">
      <w:numFmt w:val="bullet"/>
      <w:lvlText w:val="•"/>
      <w:lvlJc w:val="left"/>
      <w:pPr>
        <w:ind w:left="3421" w:hanging="360"/>
      </w:pPr>
      <w:rPr>
        <w:rFonts w:hint="default"/>
        <w:lang w:val="tr-TR" w:eastAsia="en-US" w:bidi="ar-SA"/>
      </w:rPr>
    </w:lvl>
    <w:lvl w:ilvl="4" w:tplc="670E24C2">
      <w:numFmt w:val="bullet"/>
      <w:lvlText w:val="•"/>
      <w:lvlJc w:val="left"/>
      <w:pPr>
        <w:ind w:left="4282" w:hanging="360"/>
      </w:pPr>
      <w:rPr>
        <w:rFonts w:hint="default"/>
        <w:lang w:val="tr-TR" w:eastAsia="en-US" w:bidi="ar-SA"/>
      </w:rPr>
    </w:lvl>
    <w:lvl w:ilvl="5" w:tplc="86A4B9FE">
      <w:numFmt w:val="bullet"/>
      <w:lvlText w:val="•"/>
      <w:lvlJc w:val="left"/>
      <w:pPr>
        <w:ind w:left="5142" w:hanging="360"/>
      </w:pPr>
      <w:rPr>
        <w:rFonts w:hint="default"/>
        <w:lang w:val="tr-TR" w:eastAsia="en-US" w:bidi="ar-SA"/>
      </w:rPr>
    </w:lvl>
    <w:lvl w:ilvl="6" w:tplc="ED789B16">
      <w:numFmt w:val="bullet"/>
      <w:lvlText w:val="•"/>
      <w:lvlJc w:val="left"/>
      <w:pPr>
        <w:ind w:left="6003" w:hanging="360"/>
      </w:pPr>
      <w:rPr>
        <w:rFonts w:hint="default"/>
        <w:lang w:val="tr-TR" w:eastAsia="en-US" w:bidi="ar-SA"/>
      </w:rPr>
    </w:lvl>
    <w:lvl w:ilvl="7" w:tplc="30826C1E">
      <w:numFmt w:val="bullet"/>
      <w:lvlText w:val="•"/>
      <w:lvlJc w:val="left"/>
      <w:pPr>
        <w:ind w:left="6863" w:hanging="360"/>
      </w:pPr>
      <w:rPr>
        <w:rFonts w:hint="default"/>
        <w:lang w:val="tr-TR" w:eastAsia="en-US" w:bidi="ar-SA"/>
      </w:rPr>
    </w:lvl>
    <w:lvl w:ilvl="8" w:tplc="322E5D3C">
      <w:numFmt w:val="bullet"/>
      <w:lvlText w:val="•"/>
      <w:lvlJc w:val="left"/>
      <w:pPr>
        <w:ind w:left="7724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3F"/>
    <w:rsid w:val="006560D3"/>
    <w:rsid w:val="00910761"/>
    <w:rsid w:val="00CE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70E2"/>
  <w15:docId w15:val="{B8483BD8-3974-48F1-A17A-200481D4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ProOne 440</cp:lastModifiedBy>
  <cp:revision>2</cp:revision>
  <dcterms:created xsi:type="dcterms:W3CDTF">2025-11-29T13:30:00Z</dcterms:created>
  <dcterms:modified xsi:type="dcterms:W3CDTF">2025-11-29T13:30:00Z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Microsoft 365 için</vt:lpwstr>
  </property>
</Properties>
</file>