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5AF7" w:rsidRDefault="00F85AF7">
      <w:pPr>
        <w:pStyle w:val="KonuBal"/>
        <w:rPr>
          <w:sz w:val="2"/>
        </w:rPr>
      </w:pPr>
    </w:p>
    <w:tbl>
      <w:tblPr>
        <w:tblStyle w:val="TableNormal"/>
        <w:tblW w:w="0" w:type="auto"/>
        <w:tblInd w:w="109" w:type="dxa"/>
        <w:tblBorders>
          <w:top w:val="double" w:sz="2" w:space="0" w:color="9F9F9F"/>
          <w:left w:val="double" w:sz="2" w:space="0" w:color="9F9F9F"/>
          <w:bottom w:val="double" w:sz="2" w:space="0" w:color="9F9F9F"/>
          <w:right w:val="double" w:sz="2" w:space="0" w:color="9F9F9F"/>
          <w:insideH w:val="double" w:sz="2" w:space="0" w:color="9F9F9F"/>
          <w:insideV w:val="double" w:sz="2" w:space="0" w:color="9F9F9F"/>
        </w:tblBorders>
        <w:tblLayout w:type="fixed"/>
        <w:tblLook w:val="01E0" w:firstRow="1" w:lastRow="1" w:firstColumn="1" w:lastColumn="1" w:noHBand="0" w:noVBand="0"/>
      </w:tblPr>
      <w:tblGrid>
        <w:gridCol w:w="1815"/>
        <w:gridCol w:w="1357"/>
        <w:gridCol w:w="6289"/>
      </w:tblGrid>
      <w:tr w:rsidR="00F85AF7">
        <w:trPr>
          <w:trHeight w:val="1833"/>
        </w:trPr>
        <w:tc>
          <w:tcPr>
            <w:tcW w:w="1815" w:type="dxa"/>
            <w:tcBorders>
              <w:left w:val="thinThickMediumGap" w:sz="3" w:space="0" w:color="EEEEEE"/>
              <w:bottom w:val="single" w:sz="36" w:space="0" w:color="9F9F9F"/>
            </w:tcBorders>
          </w:tcPr>
          <w:p w:rsidR="00F85AF7" w:rsidRDefault="00F85AF7">
            <w:pPr>
              <w:pStyle w:val="TableParagraph"/>
              <w:spacing w:before="9"/>
              <w:ind w:left="0"/>
              <w:rPr>
                <w:sz w:val="3"/>
              </w:rPr>
            </w:pPr>
          </w:p>
          <w:p w:rsidR="00F85AF7" w:rsidRDefault="0007349A">
            <w:pPr>
              <w:pStyle w:val="TableParagraph"/>
              <w:ind w:left="45" w:right="-44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w:drawing>
                <wp:inline distT="0" distB="0" distL="0" distR="0" wp14:anchorId="70E7AFE3">
                  <wp:extent cx="1103630" cy="1066800"/>
                  <wp:effectExtent l="0" t="0" r="1270" b="0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3630" cy="1066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46" w:type="dxa"/>
            <w:gridSpan w:val="2"/>
            <w:tcBorders>
              <w:bottom w:val="single" w:sz="36" w:space="0" w:color="9F9F9F"/>
            </w:tcBorders>
          </w:tcPr>
          <w:p w:rsidR="0007349A" w:rsidRPr="0007349A" w:rsidRDefault="0007349A" w:rsidP="0007349A">
            <w:pPr>
              <w:pStyle w:val="TableParagraph"/>
              <w:spacing w:before="187"/>
              <w:ind w:left="42"/>
              <w:jc w:val="center"/>
              <w:rPr>
                <w:b/>
                <w:spacing w:val="-4"/>
                <w:sz w:val="28"/>
              </w:rPr>
            </w:pPr>
            <w:r w:rsidRPr="0007349A">
              <w:rPr>
                <w:b/>
                <w:spacing w:val="-4"/>
                <w:sz w:val="28"/>
              </w:rPr>
              <w:t>T.C.</w:t>
            </w:r>
          </w:p>
          <w:p w:rsidR="0007349A" w:rsidRPr="0007349A" w:rsidRDefault="0007349A" w:rsidP="0007349A">
            <w:pPr>
              <w:pStyle w:val="TableParagraph"/>
              <w:spacing w:before="187"/>
              <w:ind w:left="42"/>
              <w:jc w:val="center"/>
              <w:rPr>
                <w:b/>
                <w:spacing w:val="-4"/>
                <w:sz w:val="28"/>
              </w:rPr>
            </w:pPr>
            <w:r w:rsidRPr="0007349A">
              <w:rPr>
                <w:b/>
                <w:spacing w:val="-4"/>
                <w:sz w:val="28"/>
              </w:rPr>
              <w:t>KÜTAHYA DUMLUPINAR ÜNİVERSİTESİ</w:t>
            </w:r>
          </w:p>
          <w:p w:rsidR="0007349A" w:rsidRPr="0007349A" w:rsidRDefault="0007349A" w:rsidP="0007349A">
            <w:pPr>
              <w:pStyle w:val="TableParagraph"/>
              <w:spacing w:before="187"/>
              <w:ind w:left="42"/>
              <w:jc w:val="center"/>
              <w:rPr>
                <w:b/>
                <w:spacing w:val="-4"/>
                <w:sz w:val="28"/>
              </w:rPr>
            </w:pPr>
            <w:r w:rsidRPr="0007349A">
              <w:rPr>
                <w:b/>
                <w:spacing w:val="-4"/>
                <w:sz w:val="28"/>
              </w:rPr>
              <w:t>LİSANSÜSTÜ EĞİTİM ENSTİTÜSÜ MÜDÜRLÜĞÜ</w:t>
            </w:r>
          </w:p>
          <w:p w:rsidR="00F85AF7" w:rsidRDefault="0007349A" w:rsidP="0007349A">
            <w:pPr>
              <w:pStyle w:val="TableParagraph"/>
              <w:spacing w:before="120"/>
              <w:ind w:left="42" w:right="7"/>
              <w:jc w:val="center"/>
              <w:rPr>
                <w:b/>
                <w:sz w:val="36"/>
              </w:rPr>
            </w:pPr>
            <w:r w:rsidRPr="0007349A">
              <w:rPr>
                <w:b/>
                <w:spacing w:val="-4"/>
                <w:sz w:val="28"/>
              </w:rPr>
              <w:t>BİRİM GÖREV TANIMLARI</w:t>
            </w:r>
          </w:p>
        </w:tc>
      </w:tr>
      <w:tr w:rsidR="00F85AF7">
        <w:trPr>
          <w:trHeight w:val="397"/>
        </w:trPr>
        <w:tc>
          <w:tcPr>
            <w:tcW w:w="3172" w:type="dxa"/>
            <w:gridSpan w:val="2"/>
            <w:tcBorders>
              <w:top w:val="single" w:sz="36" w:space="0" w:color="9F9F9F"/>
              <w:left w:val="double" w:sz="2" w:space="0" w:color="EEEEEE"/>
              <w:right w:val="double" w:sz="2" w:space="0" w:color="EEEEEE"/>
            </w:tcBorders>
          </w:tcPr>
          <w:p w:rsidR="00F85AF7" w:rsidRDefault="004066FF">
            <w:pPr>
              <w:pStyle w:val="TableParagraph"/>
              <w:spacing w:before="94"/>
              <w:ind w:left="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BİRİM:</w:t>
            </w:r>
          </w:p>
        </w:tc>
        <w:tc>
          <w:tcPr>
            <w:tcW w:w="6289" w:type="dxa"/>
            <w:tcBorders>
              <w:top w:val="single" w:sz="36" w:space="0" w:color="9F9F9F"/>
              <w:left w:val="double" w:sz="2" w:space="0" w:color="EEEEEE"/>
            </w:tcBorders>
          </w:tcPr>
          <w:p w:rsidR="00F85AF7" w:rsidRDefault="004066FF">
            <w:pPr>
              <w:pStyle w:val="TableParagraph"/>
              <w:spacing w:before="101"/>
              <w:ind w:left="239"/>
              <w:rPr>
                <w:sz w:val="23"/>
              </w:rPr>
            </w:pPr>
            <w:r>
              <w:rPr>
                <w:sz w:val="23"/>
              </w:rPr>
              <w:t>Enstitü</w:t>
            </w:r>
            <w:r>
              <w:rPr>
                <w:spacing w:val="-2"/>
                <w:sz w:val="23"/>
              </w:rPr>
              <w:t xml:space="preserve"> Sekreterliği</w:t>
            </w:r>
          </w:p>
        </w:tc>
      </w:tr>
      <w:tr w:rsidR="00F85AF7">
        <w:trPr>
          <w:trHeight w:val="395"/>
        </w:trPr>
        <w:tc>
          <w:tcPr>
            <w:tcW w:w="3172" w:type="dxa"/>
            <w:gridSpan w:val="2"/>
            <w:tcBorders>
              <w:left w:val="double" w:sz="2" w:space="0" w:color="EEEEEE"/>
              <w:right w:val="double" w:sz="2" w:space="0" w:color="EEEEEE"/>
            </w:tcBorders>
          </w:tcPr>
          <w:p w:rsidR="00F85AF7" w:rsidRDefault="004066FF">
            <w:pPr>
              <w:pStyle w:val="TableParagraph"/>
              <w:spacing w:before="92"/>
              <w:ind w:left="93"/>
              <w:rPr>
                <w:b/>
                <w:sz w:val="24"/>
              </w:rPr>
            </w:pPr>
            <w:r>
              <w:rPr>
                <w:b/>
                <w:sz w:val="24"/>
              </w:rPr>
              <w:t>BAĞLI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OLDUĞU</w:t>
            </w:r>
            <w:r>
              <w:rPr>
                <w:b/>
                <w:spacing w:val="-2"/>
                <w:sz w:val="24"/>
              </w:rPr>
              <w:t xml:space="preserve"> BİRİM:</w:t>
            </w:r>
          </w:p>
        </w:tc>
        <w:tc>
          <w:tcPr>
            <w:tcW w:w="6289" w:type="dxa"/>
            <w:tcBorders>
              <w:left w:val="double" w:sz="2" w:space="0" w:color="EEEEEE"/>
            </w:tcBorders>
          </w:tcPr>
          <w:p w:rsidR="00F85AF7" w:rsidRDefault="004066FF">
            <w:pPr>
              <w:pStyle w:val="TableParagraph"/>
              <w:spacing w:before="49"/>
              <w:ind w:left="239"/>
              <w:rPr>
                <w:sz w:val="23"/>
              </w:rPr>
            </w:pPr>
            <w:r>
              <w:rPr>
                <w:sz w:val="23"/>
              </w:rPr>
              <w:t>Enstitüsü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Müdürlüğü</w:t>
            </w:r>
          </w:p>
        </w:tc>
      </w:tr>
      <w:tr w:rsidR="00F85AF7">
        <w:trPr>
          <w:trHeight w:val="1353"/>
        </w:trPr>
        <w:tc>
          <w:tcPr>
            <w:tcW w:w="3172" w:type="dxa"/>
            <w:gridSpan w:val="2"/>
            <w:tcBorders>
              <w:left w:val="double" w:sz="2" w:space="0" w:color="EEEEEE"/>
            </w:tcBorders>
          </w:tcPr>
          <w:p w:rsidR="00F85AF7" w:rsidRDefault="00F85AF7">
            <w:pPr>
              <w:pStyle w:val="TableParagraph"/>
              <w:ind w:left="0"/>
              <w:rPr>
                <w:sz w:val="24"/>
              </w:rPr>
            </w:pPr>
          </w:p>
          <w:p w:rsidR="00F85AF7" w:rsidRDefault="00F85AF7">
            <w:pPr>
              <w:pStyle w:val="TableParagraph"/>
              <w:spacing w:before="20"/>
              <w:ind w:left="0"/>
              <w:rPr>
                <w:sz w:val="24"/>
              </w:rPr>
            </w:pPr>
          </w:p>
          <w:p w:rsidR="00F85AF7" w:rsidRDefault="004066FF">
            <w:pPr>
              <w:pStyle w:val="TableParagraph"/>
              <w:ind w:left="93"/>
              <w:rPr>
                <w:b/>
                <w:sz w:val="24"/>
              </w:rPr>
            </w:pPr>
            <w:r>
              <w:rPr>
                <w:b/>
                <w:sz w:val="24"/>
              </w:rPr>
              <w:t>GÖREVİN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KISA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TANIMI:</w:t>
            </w:r>
          </w:p>
        </w:tc>
        <w:tc>
          <w:tcPr>
            <w:tcW w:w="6289" w:type="dxa"/>
          </w:tcPr>
          <w:p w:rsidR="00F85AF7" w:rsidRDefault="0007349A">
            <w:pPr>
              <w:pStyle w:val="TableParagraph"/>
              <w:spacing w:before="1"/>
              <w:ind w:left="239" w:right="204"/>
              <w:jc w:val="both"/>
              <w:rPr>
                <w:sz w:val="23"/>
              </w:rPr>
            </w:pPr>
            <w:r>
              <w:rPr>
                <w:sz w:val="23"/>
              </w:rPr>
              <w:t>Dumlupınar</w:t>
            </w:r>
            <w:r w:rsidR="004066FF">
              <w:rPr>
                <w:spacing w:val="-6"/>
                <w:sz w:val="23"/>
              </w:rPr>
              <w:t xml:space="preserve"> </w:t>
            </w:r>
            <w:r w:rsidR="004066FF">
              <w:rPr>
                <w:sz w:val="23"/>
              </w:rPr>
              <w:t>Üniversitesi</w:t>
            </w:r>
            <w:r w:rsidR="004066FF">
              <w:rPr>
                <w:spacing w:val="-6"/>
                <w:sz w:val="23"/>
              </w:rPr>
              <w:t xml:space="preserve"> </w:t>
            </w:r>
            <w:r w:rsidR="004066FF">
              <w:rPr>
                <w:sz w:val="23"/>
              </w:rPr>
              <w:t>üst</w:t>
            </w:r>
            <w:r w:rsidR="004066FF">
              <w:rPr>
                <w:spacing w:val="-6"/>
                <w:sz w:val="23"/>
              </w:rPr>
              <w:t xml:space="preserve"> </w:t>
            </w:r>
            <w:r w:rsidR="004066FF">
              <w:rPr>
                <w:sz w:val="23"/>
              </w:rPr>
              <w:t>yönetimi</w:t>
            </w:r>
            <w:r w:rsidR="004066FF">
              <w:rPr>
                <w:spacing w:val="-8"/>
                <w:sz w:val="23"/>
              </w:rPr>
              <w:t xml:space="preserve"> </w:t>
            </w:r>
            <w:r w:rsidR="004066FF">
              <w:rPr>
                <w:sz w:val="23"/>
              </w:rPr>
              <w:t>tarafından</w:t>
            </w:r>
            <w:r w:rsidR="004066FF">
              <w:rPr>
                <w:spacing w:val="-6"/>
                <w:sz w:val="23"/>
              </w:rPr>
              <w:t xml:space="preserve"> </w:t>
            </w:r>
            <w:r w:rsidR="004066FF">
              <w:rPr>
                <w:sz w:val="23"/>
              </w:rPr>
              <w:t>belirlenen</w:t>
            </w:r>
            <w:r w:rsidR="004066FF">
              <w:rPr>
                <w:spacing w:val="-6"/>
                <w:sz w:val="23"/>
              </w:rPr>
              <w:t xml:space="preserve"> </w:t>
            </w:r>
            <w:r w:rsidR="004066FF">
              <w:rPr>
                <w:sz w:val="23"/>
              </w:rPr>
              <w:t>amaç</w:t>
            </w:r>
            <w:r w:rsidR="004066FF">
              <w:rPr>
                <w:spacing w:val="-8"/>
                <w:sz w:val="23"/>
              </w:rPr>
              <w:t xml:space="preserve"> </w:t>
            </w:r>
            <w:r w:rsidR="004066FF">
              <w:rPr>
                <w:sz w:val="23"/>
              </w:rPr>
              <w:t xml:space="preserve">ve ilkelere uygun olarak; Enstitünün </w:t>
            </w:r>
            <w:proofErr w:type="gramStart"/>
            <w:r>
              <w:rPr>
                <w:sz w:val="23"/>
              </w:rPr>
              <w:t>misyon</w:t>
            </w:r>
            <w:proofErr w:type="gramEnd"/>
            <w:r w:rsidR="004066FF">
              <w:rPr>
                <w:sz w:val="23"/>
              </w:rPr>
              <w:t xml:space="preserve"> ve </w:t>
            </w:r>
            <w:r>
              <w:rPr>
                <w:sz w:val="23"/>
              </w:rPr>
              <w:t>vizyonu</w:t>
            </w:r>
          </w:p>
          <w:p w:rsidR="00F85AF7" w:rsidRDefault="004066FF">
            <w:pPr>
              <w:pStyle w:val="TableParagraph"/>
              <w:ind w:left="239" w:right="319"/>
              <w:jc w:val="both"/>
              <w:rPr>
                <w:sz w:val="23"/>
              </w:rPr>
            </w:pPr>
            <w:proofErr w:type="gramStart"/>
            <w:r>
              <w:rPr>
                <w:sz w:val="23"/>
              </w:rPr>
              <w:t>doğrultusunda</w:t>
            </w:r>
            <w:proofErr w:type="gramEnd"/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eğitim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ve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öğretimi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gerçekleştirmek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için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gerekli tüm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faaliyetlerin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etkinli</w:t>
            </w:r>
            <w:bookmarkStart w:id="0" w:name="_GoBack"/>
            <w:bookmarkEnd w:id="0"/>
            <w:r>
              <w:rPr>
                <w:sz w:val="23"/>
              </w:rPr>
              <w:t>k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ve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verimlilik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ilkelerine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uygun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olarak yürütülmesi amacıyla; enstitüdeki idari işleri yürütmek.</w:t>
            </w:r>
          </w:p>
        </w:tc>
      </w:tr>
      <w:tr w:rsidR="00F85AF7">
        <w:trPr>
          <w:trHeight w:val="400"/>
        </w:trPr>
        <w:tc>
          <w:tcPr>
            <w:tcW w:w="9461" w:type="dxa"/>
            <w:gridSpan w:val="3"/>
            <w:tcBorders>
              <w:left w:val="double" w:sz="2" w:space="0" w:color="EEEEEE"/>
            </w:tcBorders>
          </w:tcPr>
          <w:p w:rsidR="00F85AF7" w:rsidRDefault="004066FF">
            <w:pPr>
              <w:pStyle w:val="TableParagraph"/>
              <w:spacing w:before="95"/>
              <w:ind w:left="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GÖREV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VE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SORUMLULUKLAR</w:t>
            </w:r>
          </w:p>
        </w:tc>
      </w:tr>
      <w:tr w:rsidR="00F85AF7">
        <w:trPr>
          <w:trHeight w:val="9442"/>
        </w:trPr>
        <w:tc>
          <w:tcPr>
            <w:tcW w:w="9461" w:type="dxa"/>
            <w:gridSpan w:val="3"/>
            <w:tcBorders>
              <w:left w:val="double" w:sz="2" w:space="0" w:color="EEEEEE"/>
            </w:tcBorders>
          </w:tcPr>
          <w:p w:rsidR="00F85AF7" w:rsidRDefault="004066FF">
            <w:pPr>
              <w:pStyle w:val="TableParagraph"/>
              <w:numPr>
                <w:ilvl w:val="0"/>
                <w:numId w:val="1"/>
              </w:numPr>
              <w:tabs>
                <w:tab w:val="left" w:pos="861"/>
              </w:tabs>
              <w:spacing w:before="248" w:line="276" w:lineRule="auto"/>
              <w:ind w:right="96"/>
              <w:jc w:val="both"/>
              <w:rPr>
                <w:sz w:val="23"/>
              </w:rPr>
            </w:pPr>
            <w:r>
              <w:rPr>
                <w:sz w:val="23"/>
              </w:rPr>
              <w:t>Enstitü Müdürüne bağlı yönetim örgütünün başında bulunan Enstitü Sekreteri, bütün faaliyetlerin gözetim ve denetiminin yapılmasında takip ve kontrol edilmesinde ve sonuçlarının alınmasında Enstitü Müdürüne karşı birinci derecede sorumludur.</w:t>
            </w:r>
          </w:p>
          <w:p w:rsidR="00F85AF7" w:rsidRDefault="004066FF">
            <w:pPr>
              <w:pStyle w:val="TableParagraph"/>
              <w:numPr>
                <w:ilvl w:val="0"/>
                <w:numId w:val="1"/>
              </w:numPr>
              <w:tabs>
                <w:tab w:val="left" w:pos="861"/>
              </w:tabs>
              <w:spacing w:before="244" w:line="218" w:lineRule="auto"/>
              <w:ind w:right="108"/>
              <w:rPr>
                <w:sz w:val="23"/>
              </w:rPr>
            </w:pPr>
            <w:r>
              <w:rPr>
                <w:sz w:val="23"/>
              </w:rPr>
              <w:t>Enstitü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Kurulu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ve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Enstitü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Yönetim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Kurulu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gündemini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hazırlamak,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bu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kurullarda</w:t>
            </w:r>
            <w:r>
              <w:rPr>
                <w:spacing w:val="-4"/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>raportörlük</w:t>
            </w:r>
            <w:proofErr w:type="gramEnd"/>
            <w:r>
              <w:rPr>
                <w:sz w:val="23"/>
              </w:rPr>
              <w:t xml:space="preserve"> yapmak, kurul kararlarını ilgili birimlere bildirmek ve takip etmek,</w:t>
            </w:r>
          </w:p>
          <w:p w:rsidR="00F85AF7" w:rsidRDefault="004066FF">
            <w:pPr>
              <w:pStyle w:val="TableParagraph"/>
              <w:numPr>
                <w:ilvl w:val="0"/>
                <w:numId w:val="1"/>
              </w:numPr>
              <w:tabs>
                <w:tab w:val="left" w:pos="861"/>
              </w:tabs>
              <w:spacing w:before="194" w:line="220" w:lineRule="auto"/>
              <w:ind w:right="975"/>
              <w:rPr>
                <w:sz w:val="23"/>
              </w:rPr>
            </w:pPr>
            <w:r>
              <w:rPr>
                <w:sz w:val="23"/>
              </w:rPr>
              <w:t>Enstitüde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çalışan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idari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personelin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çalışmalarını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planlamak,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izlemek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ve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denetlemek, akademik ve idari personelin özlük haklarını takip etmek,</w:t>
            </w:r>
          </w:p>
          <w:p w:rsidR="00F85AF7" w:rsidRDefault="004066FF">
            <w:pPr>
              <w:pStyle w:val="TableParagraph"/>
              <w:numPr>
                <w:ilvl w:val="0"/>
                <w:numId w:val="1"/>
              </w:numPr>
              <w:tabs>
                <w:tab w:val="left" w:pos="860"/>
              </w:tabs>
              <w:spacing w:before="219"/>
              <w:ind w:left="860" w:hanging="359"/>
              <w:rPr>
                <w:sz w:val="23"/>
              </w:rPr>
            </w:pPr>
            <w:r>
              <w:rPr>
                <w:sz w:val="23"/>
              </w:rPr>
              <w:t>Yasa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ve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yönetmeliklerle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ilgili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yenilikleri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takip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etmek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ve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uygulanmasını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sağlamak,</w:t>
            </w:r>
          </w:p>
          <w:p w:rsidR="00F85AF7" w:rsidRDefault="004066FF">
            <w:pPr>
              <w:pStyle w:val="TableParagraph"/>
              <w:numPr>
                <w:ilvl w:val="0"/>
                <w:numId w:val="1"/>
              </w:numPr>
              <w:tabs>
                <w:tab w:val="left" w:pos="861"/>
              </w:tabs>
              <w:spacing w:before="230" w:line="220" w:lineRule="auto"/>
              <w:ind w:right="285"/>
              <w:rPr>
                <w:sz w:val="23"/>
              </w:rPr>
            </w:pPr>
            <w:r>
              <w:rPr>
                <w:sz w:val="23"/>
              </w:rPr>
              <w:t>Sorumluluğundaki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işleri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düzenli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ve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uyumlu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bir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şekilde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mevzuata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uygun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olarak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planlamak, yürütmek, koordin</w:t>
            </w:r>
            <w:r>
              <w:rPr>
                <w:sz w:val="23"/>
              </w:rPr>
              <w:t>e etmek ve denetlemek,</w:t>
            </w:r>
          </w:p>
          <w:p w:rsidR="00F85AF7" w:rsidRDefault="004066FF">
            <w:pPr>
              <w:pStyle w:val="TableParagraph"/>
              <w:numPr>
                <w:ilvl w:val="0"/>
                <w:numId w:val="1"/>
              </w:numPr>
              <w:tabs>
                <w:tab w:val="left" w:pos="861"/>
              </w:tabs>
              <w:spacing w:before="235" w:line="218" w:lineRule="auto"/>
              <w:ind w:right="510"/>
              <w:rPr>
                <w:sz w:val="23"/>
              </w:rPr>
            </w:pPr>
            <w:r>
              <w:rPr>
                <w:sz w:val="23"/>
              </w:rPr>
              <w:t>Kurum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içi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ve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kurum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dışı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yazışmaları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kontrol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etmek,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yazışmaların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zamanında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ve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düzenli yapılmasını sağlamak,</w:t>
            </w:r>
          </w:p>
          <w:p w:rsidR="00F85AF7" w:rsidRDefault="00F85AF7">
            <w:pPr>
              <w:pStyle w:val="TableParagraph"/>
              <w:spacing w:before="39"/>
              <w:ind w:left="0"/>
              <w:rPr>
                <w:sz w:val="23"/>
              </w:rPr>
            </w:pPr>
          </w:p>
          <w:p w:rsidR="00F85AF7" w:rsidRDefault="004066FF">
            <w:pPr>
              <w:pStyle w:val="TableParagraph"/>
              <w:numPr>
                <w:ilvl w:val="0"/>
                <w:numId w:val="1"/>
              </w:numPr>
              <w:tabs>
                <w:tab w:val="left" w:pos="861"/>
              </w:tabs>
              <w:spacing w:line="218" w:lineRule="auto"/>
              <w:ind w:right="122"/>
              <w:rPr>
                <w:sz w:val="23"/>
              </w:rPr>
            </w:pPr>
            <w:r>
              <w:rPr>
                <w:sz w:val="23"/>
              </w:rPr>
              <w:t>Enstitünün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ihtiyaçlarını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tespit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etmek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ve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temini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için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Enstitü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Müdürlüğüne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öneride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bulunmak, mal ve hizmetlerin alımını planlamak ve takip etmek,</w:t>
            </w:r>
          </w:p>
          <w:p w:rsidR="00F85AF7" w:rsidRDefault="004066FF">
            <w:pPr>
              <w:pStyle w:val="TableParagraph"/>
              <w:numPr>
                <w:ilvl w:val="0"/>
                <w:numId w:val="1"/>
              </w:numPr>
              <w:tabs>
                <w:tab w:val="left" w:pos="861"/>
              </w:tabs>
              <w:spacing w:before="235" w:line="220" w:lineRule="auto"/>
              <w:ind w:right="380"/>
              <w:rPr>
                <w:sz w:val="23"/>
              </w:rPr>
            </w:pPr>
            <w:r>
              <w:rPr>
                <w:sz w:val="23"/>
              </w:rPr>
              <w:t>Bina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ve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tesislerin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kullanılabilir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durumda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tutulmasını;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bakım,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onarımın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sağlanmasını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ve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iç hizmetlerin yürütülmesini sağlamak,</w:t>
            </w:r>
          </w:p>
          <w:p w:rsidR="00F85AF7" w:rsidRDefault="004066FF">
            <w:pPr>
              <w:pStyle w:val="TableParagraph"/>
              <w:numPr>
                <w:ilvl w:val="0"/>
                <w:numId w:val="1"/>
              </w:numPr>
              <w:tabs>
                <w:tab w:val="left" w:pos="860"/>
              </w:tabs>
              <w:spacing w:before="216"/>
              <w:ind w:left="860" w:hanging="359"/>
              <w:rPr>
                <w:sz w:val="23"/>
              </w:rPr>
            </w:pPr>
            <w:r>
              <w:rPr>
                <w:sz w:val="23"/>
              </w:rPr>
              <w:t>Gerektiği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zaman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güvenlik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önlemlerinin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alınmasını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sağlamak,</w:t>
            </w:r>
          </w:p>
          <w:p w:rsidR="00F85AF7" w:rsidRDefault="00F85AF7">
            <w:pPr>
              <w:pStyle w:val="TableParagraph"/>
              <w:spacing w:before="35"/>
              <w:ind w:left="0"/>
              <w:rPr>
                <w:sz w:val="23"/>
              </w:rPr>
            </w:pPr>
          </w:p>
          <w:p w:rsidR="00F85AF7" w:rsidRDefault="004066FF">
            <w:pPr>
              <w:pStyle w:val="TableParagraph"/>
              <w:numPr>
                <w:ilvl w:val="0"/>
                <w:numId w:val="1"/>
              </w:numPr>
              <w:tabs>
                <w:tab w:val="left" w:pos="861"/>
              </w:tabs>
              <w:spacing w:line="218" w:lineRule="auto"/>
              <w:ind w:right="1070"/>
              <w:rPr>
                <w:sz w:val="23"/>
              </w:rPr>
            </w:pPr>
            <w:r>
              <w:rPr>
                <w:sz w:val="23"/>
              </w:rPr>
              <w:t>Mali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yıl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bütçe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hazırlıklarını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yapmak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ve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yıl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içerisinde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kaynakların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etkili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ve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verimli kullanılmasını sağlamak,</w:t>
            </w:r>
          </w:p>
          <w:p w:rsidR="00F85AF7" w:rsidRDefault="004066FF">
            <w:pPr>
              <w:pStyle w:val="TableParagraph"/>
              <w:numPr>
                <w:ilvl w:val="0"/>
                <w:numId w:val="1"/>
              </w:numPr>
              <w:tabs>
                <w:tab w:val="left" w:pos="860"/>
              </w:tabs>
              <w:spacing w:before="220"/>
              <w:ind w:left="860" w:hanging="359"/>
              <w:rPr>
                <w:sz w:val="23"/>
              </w:rPr>
            </w:pPr>
            <w:r>
              <w:rPr>
                <w:sz w:val="23"/>
              </w:rPr>
              <w:t>İdari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personelin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hizmet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içi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eğitime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katılmalarını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sağlamak,</w:t>
            </w:r>
          </w:p>
          <w:p w:rsidR="00F85AF7" w:rsidRDefault="004066FF">
            <w:pPr>
              <w:pStyle w:val="TableParagraph"/>
              <w:numPr>
                <w:ilvl w:val="0"/>
                <w:numId w:val="1"/>
              </w:numPr>
              <w:tabs>
                <w:tab w:val="left" w:pos="861"/>
              </w:tabs>
              <w:spacing w:before="235" w:line="218" w:lineRule="auto"/>
              <w:ind w:right="768"/>
              <w:rPr>
                <w:sz w:val="23"/>
              </w:rPr>
            </w:pPr>
            <w:r>
              <w:rPr>
                <w:sz w:val="23"/>
              </w:rPr>
              <w:t>Faaliyet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Raporu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ve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Stratejik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Plan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hazırlama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çalışmalarına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katılmak,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sonuçlarını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takip ederek zamanında ilgili birimlere ulaşmasını sağlamak,</w:t>
            </w:r>
          </w:p>
          <w:p w:rsidR="00F85AF7" w:rsidRDefault="004066FF">
            <w:pPr>
              <w:pStyle w:val="TableParagraph"/>
              <w:numPr>
                <w:ilvl w:val="0"/>
                <w:numId w:val="1"/>
              </w:numPr>
              <w:tabs>
                <w:tab w:val="left" w:pos="853"/>
              </w:tabs>
              <w:spacing w:before="217"/>
              <w:ind w:left="853" w:hanging="357"/>
              <w:rPr>
                <w:sz w:val="23"/>
              </w:rPr>
            </w:pPr>
            <w:r>
              <w:rPr>
                <w:sz w:val="23"/>
              </w:rPr>
              <w:t>Enstitü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Müdürünün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vereceği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diğer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görevleri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yapmak.</w:t>
            </w:r>
          </w:p>
        </w:tc>
      </w:tr>
      <w:tr w:rsidR="00F85AF7">
        <w:trPr>
          <w:trHeight w:val="335"/>
        </w:trPr>
        <w:tc>
          <w:tcPr>
            <w:tcW w:w="3172" w:type="dxa"/>
            <w:gridSpan w:val="2"/>
            <w:tcBorders>
              <w:left w:val="double" w:sz="2" w:space="0" w:color="EEEEEE"/>
            </w:tcBorders>
          </w:tcPr>
          <w:p w:rsidR="00F85AF7" w:rsidRDefault="004066FF">
            <w:pPr>
              <w:pStyle w:val="TableParagraph"/>
              <w:spacing w:before="41"/>
              <w:ind w:left="84"/>
              <w:rPr>
                <w:b/>
                <w:sz w:val="20"/>
              </w:rPr>
            </w:pPr>
            <w:r>
              <w:rPr>
                <w:b/>
                <w:sz w:val="20"/>
              </w:rPr>
              <w:t>DİĞER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BİRİMLERLE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İLİŞKİSİ:</w:t>
            </w:r>
          </w:p>
        </w:tc>
        <w:tc>
          <w:tcPr>
            <w:tcW w:w="6289" w:type="dxa"/>
          </w:tcPr>
          <w:p w:rsidR="00F85AF7" w:rsidRDefault="004066FF">
            <w:pPr>
              <w:pStyle w:val="TableParagraph"/>
              <w:spacing w:line="261" w:lineRule="exact"/>
              <w:ind w:left="200"/>
              <w:rPr>
                <w:sz w:val="23"/>
              </w:rPr>
            </w:pPr>
            <w:r>
              <w:rPr>
                <w:sz w:val="23"/>
              </w:rPr>
              <w:t>Tüm</w:t>
            </w:r>
            <w:r>
              <w:rPr>
                <w:spacing w:val="-2"/>
                <w:sz w:val="23"/>
              </w:rPr>
              <w:t xml:space="preserve"> Birimler</w:t>
            </w:r>
          </w:p>
        </w:tc>
      </w:tr>
    </w:tbl>
    <w:p w:rsidR="004066FF" w:rsidRDefault="004066FF"/>
    <w:sectPr w:rsidR="004066FF">
      <w:type w:val="continuous"/>
      <w:pgSz w:w="11920" w:h="16850"/>
      <w:pgMar w:top="980" w:right="1133" w:bottom="280" w:left="113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607017"/>
    <w:multiLevelType w:val="hybridMultilevel"/>
    <w:tmpl w:val="E14E08EE"/>
    <w:lvl w:ilvl="0" w:tplc="0B78669E">
      <w:numFmt w:val="bullet"/>
      <w:lvlText w:val=""/>
      <w:lvlJc w:val="left"/>
      <w:pPr>
        <w:ind w:left="86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3"/>
        <w:szCs w:val="23"/>
        <w:lang w:val="tr-TR" w:eastAsia="en-US" w:bidi="ar-SA"/>
      </w:rPr>
    </w:lvl>
    <w:lvl w:ilvl="1" w:tplc="1604D4F8">
      <w:numFmt w:val="bullet"/>
      <w:lvlText w:val="•"/>
      <w:lvlJc w:val="left"/>
      <w:pPr>
        <w:ind w:left="1718" w:hanging="360"/>
      </w:pPr>
      <w:rPr>
        <w:rFonts w:hint="default"/>
        <w:lang w:val="tr-TR" w:eastAsia="en-US" w:bidi="ar-SA"/>
      </w:rPr>
    </w:lvl>
    <w:lvl w:ilvl="2" w:tplc="CF208A18">
      <w:numFmt w:val="bullet"/>
      <w:lvlText w:val="•"/>
      <w:lvlJc w:val="left"/>
      <w:pPr>
        <w:ind w:left="2577" w:hanging="360"/>
      </w:pPr>
      <w:rPr>
        <w:rFonts w:hint="default"/>
        <w:lang w:val="tr-TR" w:eastAsia="en-US" w:bidi="ar-SA"/>
      </w:rPr>
    </w:lvl>
    <w:lvl w:ilvl="3" w:tplc="3D1E09C8">
      <w:numFmt w:val="bullet"/>
      <w:lvlText w:val="•"/>
      <w:lvlJc w:val="left"/>
      <w:pPr>
        <w:ind w:left="3435" w:hanging="360"/>
      </w:pPr>
      <w:rPr>
        <w:rFonts w:hint="default"/>
        <w:lang w:val="tr-TR" w:eastAsia="en-US" w:bidi="ar-SA"/>
      </w:rPr>
    </w:lvl>
    <w:lvl w:ilvl="4" w:tplc="8B5CC9A2">
      <w:numFmt w:val="bullet"/>
      <w:lvlText w:val="•"/>
      <w:lvlJc w:val="left"/>
      <w:pPr>
        <w:ind w:left="4294" w:hanging="360"/>
      </w:pPr>
      <w:rPr>
        <w:rFonts w:hint="default"/>
        <w:lang w:val="tr-TR" w:eastAsia="en-US" w:bidi="ar-SA"/>
      </w:rPr>
    </w:lvl>
    <w:lvl w:ilvl="5" w:tplc="DD58F8F0">
      <w:numFmt w:val="bullet"/>
      <w:lvlText w:val="•"/>
      <w:lvlJc w:val="left"/>
      <w:pPr>
        <w:ind w:left="5153" w:hanging="360"/>
      </w:pPr>
      <w:rPr>
        <w:rFonts w:hint="default"/>
        <w:lang w:val="tr-TR" w:eastAsia="en-US" w:bidi="ar-SA"/>
      </w:rPr>
    </w:lvl>
    <w:lvl w:ilvl="6" w:tplc="B8F66636">
      <w:numFmt w:val="bullet"/>
      <w:lvlText w:val="•"/>
      <w:lvlJc w:val="left"/>
      <w:pPr>
        <w:ind w:left="6011" w:hanging="360"/>
      </w:pPr>
      <w:rPr>
        <w:rFonts w:hint="default"/>
        <w:lang w:val="tr-TR" w:eastAsia="en-US" w:bidi="ar-SA"/>
      </w:rPr>
    </w:lvl>
    <w:lvl w:ilvl="7" w:tplc="966E6434">
      <w:numFmt w:val="bullet"/>
      <w:lvlText w:val="•"/>
      <w:lvlJc w:val="left"/>
      <w:pPr>
        <w:ind w:left="6870" w:hanging="360"/>
      </w:pPr>
      <w:rPr>
        <w:rFonts w:hint="default"/>
        <w:lang w:val="tr-TR" w:eastAsia="en-US" w:bidi="ar-SA"/>
      </w:rPr>
    </w:lvl>
    <w:lvl w:ilvl="8" w:tplc="8B76CB20">
      <w:numFmt w:val="bullet"/>
      <w:lvlText w:val="•"/>
      <w:lvlJc w:val="left"/>
      <w:pPr>
        <w:ind w:left="7728" w:hanging="360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AF7"/>
    <w:rsid w:val="0007349A"/>
    <w:rsid w:val="004066FF"/>
    <w:rsid w:val="00F85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5E650"/>
  <w15:docId w15:val="{8F0EC3FA-4BBC-464F-874E-2A015336A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uiPriority w:val="1"/>
    <w:qFormat/>
    <w:pPr>
      <w:spacing w:before="1"/>
    </w:pPr>
    <w:rPr>
      <w:rFonts w:ascii="Times New Roman" w:eastAsia="Times New Roman" w:hAnsi="Times New Roman" w:cs="Times New Roman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86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 ProOne 440</cp:lastModifiedBy>
  <cp:revision>2</cp:revision>
  <dcterms:created xsi:type="dcterms:W3CDTF">2025-11-29T13:36:00Z</dcterms:created>
  <dcterms:modified xsi:type="dcterms:W3CDTF">2025-11-29T13:36:00Z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2021-03-17T00:00:00Z</vt:filetime>
  </property>
  <property fmtid="{D5CDD505-2E9C-101B-9397-08002B2CF9AE}" pid="3" name="Creator">
    <vt:lpwstr>Microsoft® Word Microsoft 365 için</vt:lpwstr>
  </property>
  <property fmtid="{D5CDD505-2E9C-101B-9397-08002B2CF9AE}" pid="4" name="LastSaved">
    <vt:filetime>2025-11-29T00:00:00Z</vt:filetime>
  </property>
  <property fmtid="{D5CDD505-2E9C-101B-9397-08002B2CF9AE}" pid="5" name="Producer">
    <vt:lpwstr>Microsoft® Word Microsoft 365 için</vt:lpwstr>
  </property>
</Properties>
</file>