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1E7" w:rsidRDefault="00C661E7">
      <w:pPr>
        <w:pStyle w:val="KonuBal"/>
        <w:rPr>
          <w:sz w:val="2"/>
        </w:rPr>
      </w:pPr>
    </w:p>
    <w:tbl>
      <w:tblPr>
        <w:tblStyle w:val="TableNormal"/>
        <w:tblW w:w="0" w:type="auto"/>
        <w:tblInd w:w="109"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firstRow="1" w:lastRow="1" w:firstColumn="1" w:lastColumn="1" w:noHBand="0" w:noVBand="0"/>
      </w:tblPr>
      <w:tblGrid>
        <w:gridCol w:w="1815"/>
        <w:gridCol w:w="1357"/>
        <w:gridCol w:w="6289"/>
      </w:tblGrid>
      <w:tr w:rsidR="00C661E7">
        <w:trPr>
          <w:trHeight w:val="1834"/>
        </w:trPr>
        <w:tc>
          <w:tcPr>
            <w:tcW w:w="1815" w:type="dxa"/>
            <w:tcBorders>
              <w:left w:val="thinThickMediumGap" w:sz="3" w:space="0" w:color="EEEEEE"/>
              <w:bottom w:val="thinThickThinSmallGap" w:sz="12" w:space="0" w:color="9F9F9F"/>
            </w:tcBorders>
          </w:tcPr>
          <w:p w:rsidR="00C661E7" w:rsidRDefault="00C661E7">
            <w:pPr>
              <w:pStyle w:val="TableParagraph"/>
              <w:spacing w:before="9"/>
              <w:ind w:left="0"/>
              <w:rPr>
                <w:sz w:val="3"/>
              </w:rPr>
            </w:pPr>
          </w:p>
          <w:p w:rsidR="00C661E7" w:rsidRDefault="00845C00">
            <w:pPr>
              <w:pStyle w:val="TableParagraph"/>
              <w:ind w:left="45" w:right="-44"/>
              <w:rPr>
                <w:sz w:val="20"/>
              </w:rPr>
            </w:pPr>
            <w:r>
              <w:rPr>
                <w:noProof/>
                <w:sz w:val="20"/>
                <w:lang w:eastAsia="tr-TR"/>
              </w:rPr>
              <w:drawing>
                <wp:inline distT="0" distB="0" distL="0" distR="0" wp14:anchorId="5BCD2731">
                  <wp:extent cx="1103630" cy="1066800"/>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3630" cy="1066800"/>
                          </a:xfrm>
                          <a:prstGeom prst="rect">
                            <a:avLst/>
                          </a:prstGeom>
                          <a:noFill/>
                        </pic:spPr>
                      </pic:pic>
                    </a:graphicData>
                  </a:graphic>
                </wp:inline>
              </w:drawing>
            </w:r>
          </w:p>
        </w:tc>
        <w:tc>
          <w:tcPr>
            <w:tcW w:w="7646" w:type="dxa"/>
            <w:gridSpan w:val="2"/>
            <w:tcBorders>
              <w:bottom w:val="thinThickThinSmallGap" w:sz="12" w:space="0" w:color="9F9F9F"/>
            </w:tcBorders>
          </w:tcPr>
          <w:p w:rsidR="00845C00" w:rsidRPr="00845C00" w:rsidRDefault="00845C00" w:rsidP="00845C00">
            <w:pPr>
              <w:pStyle w:val="TableParagraph"/>
              <w:spacing w:before="187"/>
              <w:ind w:left="42"/>
              <w:jc w:val="center"/>
              <w:rPr>
                <w:b/>
                <w:spacing w:val="-4"/>
                <w:sz w:val="28"/>
              </w:rPr>
            </w:pPr>
            <w:r w:rsidRPr="00845C00">
              <w:rPr>
                <w:b/>
                <w:spacing w:val="-4"/>
                <w:sz w:val="28"/>
              </w:rPr>
              <w:t>T.C.</w:t>
            </w:r>
          </w:p>
          <w:p w:rsidR="00845C00" w:rsidRPr="00845C00" w:rsidRDefault="00845C00" w:rsidP="00845C00">
            <w:pPr>
              <w:pStyle w:val="TableParagraph"/>
              <w:spacing w:before="187"/>
              <w:ind w:left="42"/>
              <w:jc w:val="center"/>
              <w:rPr>
                <w:b/>
                <w:spacing w:val="-4"/>
                <w:sz w:val="28"/>
              </w:rPr>
            </w:pPr>
            <w:r w:rsidRPr="00845C00">
              <w:rPr>
                <w:b/>
                <w:spacing w:val="-4"/>
                <w:sz w:val="28"/>
              </w:rPr>
              <w:t>KÜTAHYA DUMLUPINAR ÜNİVERSİTESİ</w:t>
            </w:r>
          </w:p>
          <w:p w:rsidR="00845C00" w:rsidRPr="00845C00" w:rsidRDefault="00845C00" w:rsidP="00845C00">
            <w:pPr>
              <w:pStyle w:val="TableParagraph"/>
              <w:spacing w:before="187"/>
              <w:ind w:left="42"/>
              <w:jc w:val="center"/>
              <w:rPr>
                <w:b/>
                <w:spacing w:val="-4"/>
                <w:sz w:val="28"/>
              </w:rPr>
            </w:pPr>
            <w:r w:rsidRPr="00845C00">
              <w:rPr>
                <w:b/>
                <w:spacing w:val="-4"/>
                <w:sz w:val="28"/>
              </w:rPr>
              <w:t>LİSANSÜSTÜ EĞİTİM ENSTİTÜSÜ MÜDÜRLÜĞÜ</w:t>
            </w:r>
          </w:p>
          <w:p w:rsidR="00C661E7" w:rsidRDefault="00845C00" w:rsidP="00845C00">
            <w:pPr>
              <w:pStyle w:val="TableParagraph"/>
              <w:spacing w:before="120"/>
              <w:ind w:left="42" w:right="7"/>
              <w:jc w:val="center"/>
              <w:rPr>
                <w:b/>
                <w:sz w:val="36"/>
              </w:rPr>
            </w:pPr>
            <w:r w:rsidRPr="00845C00">
              <w:rPr>
                <w:b/>
                <w:spacing w:val="-4"/>
                <w:sz w:val="28"/>
              </w:rPr>
              <w:t>BİRİM GÖREV TANIMLARI</w:t>
            </w:r>
          </w:p>
        </w:tc>
      </w:tr>
      <w:tr w:rsidR="00C661E7">
        <w:trPr>
          <w:trHeight w:val="415"/>
        </w:trPr>
        <w:tc>
          <w:tcPr>
            <w:tcW w:w="3172" w:type="dxa"/>
            <w:gridSpan w:val="2"/>
            <w:tcBorders>
              <w:top w:val="thinThickThinSmallGap" w:sz="12" w:space="0" w:color="9F9F9F"/>
              <w:left w:val="double" w:sz="2" w:space="0" w:color="EEEEEE"/>
              <w:right w:val="double" w:sz="2" w:space="0" w:color="EEEEEE"/>
            </w:tcBorders>
          </w:tcPr>
          <w:p w:rsidR="00C661E7" w:rsidRDefault="0003537C">
            <w:pPr>
              <w:pStyle w:val="TableParagraph"/>
              <w:spacing w:before="112"/>
              <w:ind w:left="93"/>
              <w:rPr>
                <w:b/>
                <w:sz w:val="24"/>
              </w:rPr>
            </w:pPr>
            <w:r>
              <w:rPr>
                <w:b/>
                <w:spacing w:val="-2"/>
                <w:sz w:val="24"/>
              </w:rPr>
              <w:t>BİRİM:</w:t>
            </w:r>
          </w:p>
        </w:tc>
        <w:tc>
          <w:tcPr>
            <w:tcW w:w="6289" w:type="dxa"/>
            <w:tcBorders>
              <w:top w:val="thinThickThinSmallGap" w:sz="12" w:space="0" w:color="9F9F9F"/>
              <w:left w:val="double" w:sz="2" w:space="0" w:color="EEEEEE"/>
            </w:tcBorders>
          </w:tcPr>
          <w:p w:rsidR="00C661E7" w:rsidRDefault="00845C00">
            <w:pPr>
              <w:pStyle w:val="TableParagraph"/>
              <w:spacing w:before="119"/>
              <w:ind w:left="239"/>
              <w:rPr>
                <w:sz w:val="23"/>
              </w:rPr>
            </w:pPr>
            <w:r>
              <w:rPr>
                <w:spacing w:val="-2"/>
                <w:sz w:val="23"/>
              </w:rPr>
              <w:t>Mali İşler/Ayniyat/</w:t>
            </w:r>
            <w:r w:rsidR="0003537C">
              <w:rPr>
                <w:spacing w:val="-2"/>
                <w:sz w:val="23"/>
              </w:rPr>
              <w:t>Tahakkuk</w:t>
            </w:r>
            <w:r>
              <w:rPr>
                <w:spacing w:val="-2"/>
                <w:sz w:val="23"/>
              </w:rPr>
              <w:t>/Satın Alma</w:t>
            </w:r>
          </w:p>
        </w:tc>
      </w:tr>
      <w:tr w:rsidR="00C661E7">
        <w:trPr>
          <w:trHeight w:val="395"/>
        </w:trPr>
        <w:tc>
          <w:tcPr>
            <w:tcW w:w="3172" w:type="dxa"/>
            <w:gridSpan w:val="2"/>
            <w:tcBorders>
              <w:left w:val="double" w:sz="2" w:space="0" w:color="EEEEEE"/>
              <w:right w:val="double" w:sz="2" w:space="0" w:color="EEEEEE"/>
            </w:tcBorders>
          </w:tcPr>
          <w:p w:rsidR="00C661E7" w:rsidRDefault="0003537C">
            <w:pPr>
              <w:pStyle w:val="TableParagraph"/>
              <w:spacing w:before="92"/>
              <w:ind w:left="93"/>
              <w:rPr>
                <w:b/>
                <w:sz w:val="24"/>
              </w:rPr>
            </w:pPr>
            <w:r>
              <w:rPr>
                <w:b/>
                <w:sz w:val="24"/>
              </w:rPr>
              <w:t>BAĞLI</w:t>
            </w:r>
            <w:r>
              <w:rPr>
                <w:b/>
                <w:spacing w:val="-2"/>
                <w:sz w:val="24"/>
              </w:rPr>
              <w:t xml:space="preserve"> </w:t>
            </w:r>
            <w:r>
              <w:rPr>
                <w:b/>
                <w:sz w:val="24"/>
              </w:rPr>
              <w:t>OLDUĞU</w:t>
            </w:r>
            <w:r>
              <w:rPr>
                <w:b/>
                <w:spacing w:val="-2"/>
                <w:sz w:val="24"/>
              </w:rPr>
              <w:t xml:space="preserve"> BİRİM:</w:t>
            </w:r>
          </w:p>
        </w:tc>
        <w:tc>
          <w:tcPr>
            <w:tcW w:w="6289" w:type="dxa"/>
            <w:tcBorders>
              <w:left w:val="double" w:sz="2" w:space="0" w:color="EEEEEE"/>
            </w:tcBorders>
          </w:tcPr>
          <w:p w:rsidR="00C661E7" w:rsidRDefault="0003537C">
            <w:pPr>
              <w:pStyle w:val="TableParagraph"/>
              <w:spacing w:before="49"/>
              <w:ind w:left="239"/>
              <w:rPr>
                <w:sz w:val="23"/>
              </w:rPr>
            </w:pPr>
            <w:r>
              <w:rPr>
                <w:sz w:val="23"/>
              </w:rPr>
              <w:t>Enstitü</w:t>
            </w:r>
            <w:r>
              <w:rPr>
                <w:spacing w:val="-2"/>
                <w:sz w:val="23"/>
              </w:rPr>
              <w:t xml:space="preserve"> Sekreterliği</w:t>
            </w:r>
          </w:p>
        </w:tc>
      </w:tr>
      <w:tr w:rsidR="00C661E7">
        <w:trPr>
          <w:trHeight w:val="1086"/>
        </w:trPr>
        <w:tc>
          <w:tcPr>
            <w:tcW w:w="3172" w:type="dxa"/>
            <w:gridSpan w:val="2"/>
            <w:tcBorders>
              <w:left w:val="double" w:sz="2" w:space="0" w:color="EEEEEE"/>
            </w:tcBorders>
          </w:tcPr>
          <w:p w:rsidR="00C661E7" w:rsidRDefault="00C661E7">
            <w:pPr>
              <w:pStyle w:val="TableParagraph"/>
              <w:spacing w:before="164"/>
              <w:ind w:left="0"/>
              <w:rPr>
                <w:sz w:val="24"/>
              </w:rPr>
            </w:pPr>
          </w:p>
          <w:p w:rsidR="00C661E7" w:rsidRDefault="0003537C">
            <w:pPr>
              <w:pStyle w:val="TableParagraph"/>
              <w:ind w:left="93"/>
              <w:rPr>
                <w:b/>
                <w:sz w:val="24"/>
              </w:rPr>
            </w:pPr>
            <w:r>
              <w:rPr>
                <w:b/>
                <w:sz w:val="24"/>
              </w:rPr>
              <w:t>GÖREVİN</w:t>
            </w:r>
            <w:r>
              <w:rPr>
                <w:b/>
                <w:spacing w:val="-4"/>
                <w:sz w:val="24"/>
              </w:rPr>
              <w:t xml:space="preserve"> </w:t>
            </w:r>
            <w:r>
              <w:rPr>
                <w:b/>
                <w:sz w:val="24"/>
              </w:rPr>
              <w:t>KISA</w:t>
            </w:r>
            <w:r>
              <w:rPr>
                <w:b/>
                <w:spacing w:val="-4"/>
                <w:sz w:val="24"/>
              </w:rPr>
              <w:t xml:space="preserve"> </w:t>
            </w:r>
            <w:r>
              <w:rPr>
                <w:b/>
                <w:spacing w:val="-2"/>
                <w:sz w:val="24"/>
              </w:rPr>
              <w:t>TANIMI:</w:t>
            </w:r>
          </w:p>
        </w:tc>
        <w:tc>
          <w:tcPr>
            <w:tcW w:w="6289" w:type="dxa"/>
          </w:tcPr>
          <w:p w:rsidR="00C661E7" w:rsidRDefault="00845C00">
            <w:pPr>
              <w:pStyle w:val="TableParagraph"/>
              <w:ind w:left="239" w:right="83"/>
              <w:jc w:val="both"/>
              <w:rPr>
                <w:sz w:val="23"/>
              </w:rPr>
            </w:pPr>
            <w:r>
              <w:rPr>
                <w:sz w:val="23"/>
              </w:rPr>
              <w:t xml:space="preserve">Dumlupınar </w:t>
            </w:r>
            <w:r w:rsidR="0003537C">
              <w:rPr>
                <w:sz w:val="23"/>
              </w:rPr>
              <w:t>Üniversitesi üst yöne</w:t>
            </w:r>
            <w:bookmarkStart w:id="0" w:name="_GoBack"/>
            <w:bookmarkEnd w:id="0"/>
            <w:r w:rsidR="0003537C">
              <w:rPr>
                <w:sz w:val="23"/>
              </w:rPr>
              <w:t>timi ve Enstitü Müdürü tarafından belirlenen amaç ve ilkelere uygun olarak; Enstitünün maaş, yolluk, ek ders ve diğer harcamaların evraklarını düzenlemek</w:t>
            </w:r>
            <w:r w:rsidR="0003537C">
              <w:rPr>
                <w:spacing w:val="80"/>
                <w:sz w:val="23"/>
              </w:rPr>
              <w:t xml:space="preserve"> </w:t>
            </w:r>
            <w:r w:rsidR="0003537C">
              <w:rPr>
                <w:sz w:val="23"/>
              </w:rPr>
              <w:t>ve mali işlerler ile ilgili işlerini yürütmek.</w:t>
            </w:r>
          </w:p>
        </w:tc>
      </w:tr>
      <w:tr w:rsidR="00C661E7">
        <w:trPr>
          <w:trHeight w:val="400"/>
        </w:trPr>
        <w:tc>
          <w:tcPr>
            <w:tcW w:w="9461" w:type="dxa"/>
            <w:gridSpan w:val="3"/>
            <w:tcBorders>
              <w:left w:val="double" w:sz="2" w:space="0" w:color="EEEEEE"/>
            </w:tcBorders>
          </w:tcPr>
          <w:p w:rsidR="00C661E7" w:rsidRDefault="0003537C">
            <w:pPr>
              <w:pStyle w:val="TableParagraph"/>
              <w:spacing w:before="95"/>
              <w:ind w:left="42"/>
              <w:jc w:val="center"/>
              <w:rPr>
                <w:b/>
                <w:sz w:val="24"/>
              </w:rPr>
            </w:pPr>
            <w:r>
              <w:rPr>
                <w:b/>
                <w:sz w:val="24"/>
              </w:rPr>
              <w:t>GÖREV</w:t>
            </w:r>
            <w:r>
              <w:rPr>
                <w:b/>
                <w:spacing w:val="-3"/>
                <w:sz w:val="24"/>
              </w:rPr>
              <w:t xml:space="preserve"> </w:t>
            </w:r>
            <w:r>
              <w:rPr>
                <w:b/>
                <w:sz w:val="24"/>
              </w:rPr>
              <w:t>VE</w:t>
            </w:r>
            <w:r>
              <w:rPr>
                <w:b/>
                <w:spacing w:val="-1"/>
                <w:sz w:val="24"/>
              </w:rPr>
              <w:t xml:space="preserve"> </w:t>
            </w:r>
            <w:r>
              <w:rPr>
                <w:b/>
                <w:spacing w:val="-2"/>
                <w:sz w:val="24"/>
              </w:rPr>
              <w:t>SORUMLULUKLAR</w:t>
            </w:r>
          </w:p>
        </w:tc>
      </w:tr>
      <w:tr w:rsidR="00C661E7">
        <w:trPr>
          <w:trHeight w:val="9233"/>
        </w:trPr>
        <w:tc>
          <w:tcPr>
            <w:tcW w:w="9461" w:type="dxa"/>
            <w:gridSpan w:val="3"/>
            <w:tcBorders>
              <w:left w:val="double" w:sz="2" w:space="0" w:color="EEEEEE"/>
            </w:tcBorders>
          </w:tcPr>
          <w:p w:rsidR="00C661E7" w:rsidRDefault="0003537C">
            <w:pPr>
              <w:pStyle w:val="TableParagraph"/>
              <w:numPr>
                <w:ilvl w:val="0"/>
                <w:numId w:val="1"/>
              </w:numPr>
              <w:tabs>
                <w:tab w:val="left" w:pos="927"/>
              </w:tabs>
              <w:spacing w:before="224"/>
              <w:ind w:left="927" w:hanging="361"/>
              <w:rPr>
                <w:sz w:val="23"/>
              </w:rPr>
            </w:pPr>
            <w:r>
              <w:rPr>
                <w:sz w:val="23"/>
              </w:rPr>
              <w:t>Mali</w:t>
            </w:r>
            <w:r>
              <w:rPr>
                <w:spacing w:val="-4"/>
                <w:sz w:val="23"/>
              </w:rPr>
              <w:t xml:space="preserve"> </w:t>
            </w:r>
            <w:r>
              <w:rPr>
                <w:sz w:val="23"/>
              </w:rPr>
              <w:t>İşler</w:t>
            </w:r>
            <w:r>
              <w:rPr>
                <w:spacing w:val="-3"/>
                <w:sz w:val="23"/>
              </w:rPr>
              <w:t xml:space="preserve"> </w:t>
            </w:r>
            <w:r>
              <w:rPr>
                <w:sz w:val="23"/>
              </w:rPr>
              <w:t>ile</w:t>
            </w:r>
            <w:r>
              <w:rPr>
                <w:spacing w:val="-3"/>
                <w:sz w:val="23"/>
              </w:rPr>
              <w:t xml:space="preserve"> </w:t>
            </w:r>
            <w:r>
              <w:rPr>
                <w:sz w:val="23"/>
              </w:rPr>
              <w:t>ilgili</w:t>
            </w:r>
            <w:r>
              <w:rPr>
                <w:spacing w:val="-3"/>
                <w:sz w:val="23"/>
              </w:rPr>
              <w:t xml:space="preserve"> </w:t>
            </w:r>
            <w:r>
              <w:rPr>
                <w:sz w:val="23"/>
              </w:rPr>
              <w:t>kurum</w:t>
            </w:r>
            <w:r>
              <w:rPr>
                <w:spacing w:val="-5"/>
                <w:sz w:val="23"/>
              </w:rPr>
              <w:t xml:space="preserve"> </w:t>
            </w:r>
            <w:r>
              <w:rPr>
                <w:sz w:val="23"/>
              </w:rPr>
              <w:t>içi</w:t>
            </w:r>
            <w:r>
              <w:rPr>
                <w:spacing w:val="-3"/>
                <w:sz w:val="23"/>
              </w:rPr>
              <w:t xml:space="preserve"> </w:t>
            </w:r>
            <w:r>
              <w:rPr>
                <w:sz w:val="23"/>
              </w:rPr>
              <w:t>ve</w:t>
            </w:r>
            <w:r>
              <w:rPr>
                <w:spacing w:val="-3"/>
                <w:sz w:val="23"/>
              </w:rPr>
              <w:t xml:space="preserve"> </w:t>
            </w:r>
            <w:r>
              <w:rPr>
                <w:sz w:val="23"/>
              </w:rPr>
              <w:t>kurum</w:t>
            </w:r>
            <w:r>
              <w:rPr>
                <w:spacing w:val="-3"/>
                <w:sz w:val="23"/>
              </w:rPr>
              <w:t xml:space="preserve"> </w:t>
            </w:r>
            <w:r>
              <w:rPr>
                <w:sz w:val="23"/>
              </w:rPr>
              <w:t>dışı</w:t>
            </w:r>
            <w:r>
              <w:rPr>
                <w:spacing w:val="-3"/>
                <w:sz w:val="23"/>
              </w:rPr>
              <w:t xml:space="preserve"> </w:t>
            </w:r>
            <w:r>
              <w:rPr>
                <w:sz w:val="23"/>
              </w:rPr>
              <w:t>yazışmaları</w:t>
            </w:r>
            <w:r>
              <w:rPr>
                <w:spacing w:val="1"/>
                <w:sz w:val="23"/>
              </w:rPr>
              <w:t xml:space="preserve"> </w:t>
            </w:r>
            <w:r>
              <w:rPr>
                <w:spacing w:val="-2"/>
                <w:sz w:val="23"/>
              </w:rPr>
              <w:t>yapmak,</w:t>
            </w:r>
          </w:p>
          <w:p w:rsidR="00C661E7" w:rsidRDefault="0003537C">
            <w:pPr>
              <w:pStyle w:val="TableParagraph"/>
              <w:numPr>
                <w:ilvl w:val="0"/>
                <w:numId w:val="1"/>
              </w:numPr>
              <w:tabs>
                <w:tab w:val="left" w:pos="927"/>
              </w:tabs>
              <w:spacing w:before="215"/>
              <w:ind w:left="927" w:hanging="361"/>
              <w:rPr>
                <w:sz w:val="23"/>
              </w:rPr>
            </w:pPr>
            <w:r>
              <w:rPr>
                <w:sz w:val="23"/>
              </w:rPr>
              <w:t>Enstitü</w:t>
            </w:r>
            <w:r>
              <w:rPr>
                <w:spacing w:val="-12"/>
                <w:sz w:val="23"/>
              </w:rPr>
              <w:t xml:space="preserve"> </w:t>
            </w:r>
            <w:r>
              <w:rPr>
                <w:sz w:val="23"/>
              </w:rPr>
              <w:t>personelinin</w:t>
            </w:r>
            <w:r>
              <w:rPr>
                <w:spacing w:val="-4"/>
                <w:sz w:val="23"/>
              </w:rPr>
              <w:t xml:space="preserve"> </w:t>
            </w:r>
            <w:r>
              <w:rPr>
                <w:sz w:val="23"/>
              </w:rPr>
              <w:t>maaş</w:t>
            </w:r>
            <w:r>
              <w:rPr>
                <w:spacing w:val="-7"/>
                <w:sz w:val="23"/>
              </w:rPr>
              <w:t xml:space="preserve"> </w:t>
            </w:r>
            <w:r>
              <w:rPr>
                <w:sz w:val="23"/>
              </w:rPr>
              <w:t>ve</w:t>
            </w:r>
            <w:r>
              <w:rPr>
                <w:spacing w:val="-4"/>
                <w:sz w:val="23"/>
              </w:rPr>
              <w:t xml:space="preserve"> </w:t>
            </w:r>
            <w:r>
              <w:rPr>
                <w:sz w:val="23"/>
              </w:rPr>
              <w:t>yolluklarını</w:t>
            </w:r>
            <w:r>
              <w:rPr>
                <w:spacing w:val="-6"/>
                <w:sz w:val="23"/>
              </w:rPr>
              <w:t xml:space="preserve"> </w:t>
            </w:r>
            <w:r>
              <w:rPr>
                <w:sz w:val="23"/>
              </w:rPr>
              <w:t>hesaplamak,</w:t>
            </w:r>
            <w:r>
              <w:rPr>
                <w:spacing w:val="-4"/>
                <w:sz w:val="23"/>
              </w:rPr>
              <w:t xml:space="preserve"> </w:t>
            </w:r>
            <w:r>
              <w:rPr>
                <w:sz w:val="23"/>
              </w:rPr>
              <w:t>ödeme</w:t>
            </w:r>
            <w:r>
              <w:rPr>
                <w:spacing w:val="-4"/>
                <w:sz w:val="23"/>
              </w:rPr>
              <w:t xml:space="preserve"> </w:t>
            </w:r>
            <w:r>
              <w:rPr>
                <w:sz w:val="23"/>
              </w:rPr>
              <w:t>emri</w:t>
            </w:r>
            <w:r>
              <w:rPr>
                <w:spacing w:val="-4"/>
                <w:sz w:val="23"/>
              </w:rPr>
              <w:t xml:space="preserve"> </w:t>
            </w:r>
            <w:r>
              <w:rPr>
                <w:sz w:val="23"/>
              </w:rPr>
              <w:t>belgesini</w:t>
            </w:r>
            <w:r>
              <w:rPr>
                <w:spacing w:val="-14"/>
                <w:sz w:val="23"/>
              </w:rPr>
              <w:t xml:space="preserve"> </w:t>
            </w:r>
            <w:r>
              <w:rPr>
                <w:spacing w:val="-2"/>
                <w:sz w:val="23"/>
              </w:rPr>
              <w:t>düzenlemek,</w:t>
            </w:r>
          </w:p>
          <w:p w:rsidR="00C661E7" w:rsidRDefault="00C661E7">
            <w:pPr>
              <w:pStyle w:val="TableParagraph"/>
              <w:spacing w:before="35"/>
              <w:ind w:left="0"/>
              <w:rPr>
                <w:sz w:val="23"/>
              </w:rPr>
            </w:pPr>
          </w:p>
          <w:p w:rsidR="00C661E7" w:rsidRDefault="0003537C">
            <w:pPr>
              <w:pStyle w:val="TableParagraph"/>
              <w:numPr>
                <w:ilvl w:val="0"/>
                <w:numId w:val="1"/>
              </w:numPr>
              <w:tabs>
                <w:tab w:val="left" w:pos="928"/>
              </w:tabs>
              <w:spacing w:before="1" w:line="218" w:lineRule="auto"/>
              <w:ind w:right="96" w:hanging="360"/>
              <w:jc w:val="both"/>
              <w:rPr>
                <w:sz w:val="23"/>
              </w:rPr>
            </w:pPr>
            <w:r>
              <w:rPr>
                <w:sz w:val="23"/>
              </w:rPr>
              <w:t xml:space="preserve">Akademik personelin ek ders ücretleri ile ilgili işleri takip etmek ve ödeme emirlerini </w:t>
            </w:r>
            <w:r>
              <w:rPr>
                <w:spacing w:val="-2"/>
                <w:sz w:val="23"/>
              </w:rPr>
              <w:t>düzenlemek,</w:t>
            </w:r>
          </w:p>
          <w:p w:rsidR="00C661E7" w:rsidRDefault="00C661E7">
            <w:pPr>
              <w:pStyle w:val="TableParagraph"/>
              <w:spacing w:before="38"/>
              <w:ind w:left="0"/>
              <w:rPr>
                <w:sz w:val="23"/>
              </w:rPr>
            </w:pPr>
          </w:p>
          <w:p w:rsidR="00C661E7" w:rsidRDefault="0003537C">
            <w:pPr>
              <w:pStyle w:val="TableParagraph"/>
              <w:numPr>
                <w:ilvl w:val="0"/>
                <w:numId w:val="1"/>
              </w:numPr>
              <w:tabs>
                <w:tab w:val="left" w:pos="928"/>
              </w:tabs>
              <w:spacing w:before="1" w:line="218" w:lineRule="auto"/>
              <w:ind w:right="104" w:hanging="360"/>
              <w:jc w:val="both"/>
              <w:rPr>
                <w:sz w:val="23"/>
              </w:rPr>
            </w:pPr>
            <w:r>
              <w:rPr>
                <w:sz w:val="23"/>
              </w:rPr>
              <w:t xml:space="preserve">İdari personelin giyim yardımlarına ilişkin işleri takip etmek ve ödeme emirlerini </w:t>
            </w:r>
            <w:r>
              <w:rPr>
                <w:spacing w:val="-2"/>
                <w:sz w:val="23"/>
              </w:rPr>
              <w:t>düzenlemek,</w:t>
            </w:r>
          </w:p>
          <w:p w:rsidR="00C661E7" w:rsidRDefault="0003537C">
            <w:pPr>
              <w:pStyle w:val="TableParagraph"/>
              <w:numPr>
                <w:ilvl w:val="0"/>
                <w:numId w:val="1"/>
              </w:numPr>
              <w:tabs>
                <w:tab w:val="left" w:pos="928"/>
              </w:tabs>
              <w:spacing w:before="236" w:line="218" w:lineRule="auto"/>
              <w:ind w:right="100" w:hanging="360"/>
              <w:jc w:val="both"/>
              <w:rPr>
                <w:sz w:val="23"/>
              </w:rPr>
            </w:pPr>
            <w:r>
              <w:rPr>
                <w:sz w:val="23"/>
              </w:rPr>
              <w:t>Emekli kesenekleri ve bildirgelerin internet ortamında veri girişlerinin yapılmasını Strateji Geliştirme Daire Başkanlığı ile koordineli bir şekilde yürütmek,</w:t>
            </w:r>
          </w:p>
          <w:p w:rsidR="00C661E7" w:rsidRDefault="0003537C">
            <w:pPr>
              <w:pStyle w:val="TableParagraph"/>
              <w:numPr>
                <w:ilvl w:val="0"/>
                <w:numId w:val="1"/>
              </w:numPr>
              <w:tabs>
                <w:tab w:val="left" w:pos="928"/>
              </w:tabs>
              <w:spacing w:before="239" w:line="218" w:lineRule="auto"/>
              <w:ind w:right="106" w:hanging="360"/>
              <w:jc w:val="both"/>
              <w:rPr>
                <w:sz w:val="23"/>
              </w:rPr>
            </w:pPr>
            <w:r>
              <w:rPr>
                <w:sz w:val="23"/>
              </w:rPr>
              <w:t>Ak</w:t>
            </w:r>
            <w:r>
              <w:rPr>
                <w:sz w:val="23"/>
              </w:rPr>
              <w:t>ademik ve idari Personelin yurt içi ve yurt dışı geçici görev yollukları ile sürekli görev yolluklarına ilişkin işleri takip etmek ve ödeme emirlerini düzenlemek,</w:t>
            </w:r>
          </w:p>
          <w:p w:rsidR="00C661E7" w:rsidRDefault="0003537C">
            <w:pPr>
              <w:pStyle w:val="TableParagraph"/>
              <w:numPr>
                <w:ilvl w:val="0"/>
                <w:numId w:val="1"/>
              </w:numPr>
              <w:tabs>
                <w:tab w:val="left" w:pos="927"/>
              </w:tabs>
              <w:spacing w:before="219"/>
              <w:ind w:left="927" w:hanging="361"/>
              <w:rPr>
                <w:sz w:val="23"/>
              </w:rPr>
            </w:pPr>
            <w:r>
              <w:rPr>
                <w:sz w:val="23"/>
              </w:rPr>
              <w:t>Enstitü</w:t>
            </w:r>
            <w:r>
              <w:rPr>
                <w:spacing w:val="-9"/>
                <w:sz w:val="23"/>
              </w:rPr>
              <w:t xml:space="preserve"> </w:t>
            </w:r>
            <w:r>
              <w:rPr>
                <w:sz w:val="23"/>
              </w:rPr>
              <w:t>bütçe</w:t>
            </w:r>
            <w:r>
              <w:rPr>
                <w:spacing w:val="-4"/>
                <w:sz w:val="23"/>
              </w:rPr>
              <w:t xml:space="preserve"> </w:t>
            </w:r>
            <w:r>
              <w:rPr>
                <w:sz w:val="23"/>
              </w:rPr>
              <w:t>çalışmaları</w:t>
            </w:r>
            <w:r>
              <w:rPr>
                <w:spacing w:val="-4"/>
                <w:sz w:val="23"/>
              </w:rPr>
              <w:t xml:space="preserve"> </w:t>
            </w:r>
            <w:r>
              <w:rPr>
                <w:sz w:val="23"/>
              </w:rPr>
              <w:t>ile</w:t>
            </w:r>
            <w:r>
              <w:rPr>
                <w:spacing w:val="-4"/>
                <w:sz w:val="23"/>
              </w:rPr>
              <w:t xml:space="preserve"> </w:t>
            </w:r>
            <w:r>
              <w:rPr>
                <w:sz w:val="23"/>
              </w:rPr>
              <w:t>ilgili</w:t>
            </w:r>
            <w:r>
              <w:rPr>
                <w:spacing w:val="-4"/>
                <w:sz w:val="23"/>
              </w:rPr>
              <w:t xml:space="preserve"> </w:t>
            </w:r>
            <w:r>
              <w:rPr>
                <w:sz w:val="23"/>
              </w:rPr>
              <w:t>işlemleri</w:t>
            </w:r>
            <w:r>
              <w:rPr>
                <w:spacing w:val="-3"/>
                <w:sz w:val="23"/>
              </w:rPr>
              <w:t xml:space="preserve"> </w:t>
            </w:r>
            <w:r>
              <w:rPr>
                <w:sz w:val="23"/>
              </w:rPr>
              <w:t>takip</w:t>
            </w:r>
            <w:r>
              <w:rPr>
                <w:spacing w:val="-4"/>
                <w:sz w:val="23"/>
              </w:rPr>
              <w:t xml:space="preserve"> </w:t>
            </w:r>
            <w:r>
              <w:rPr>
                <w:sz w:val="23"/>
              </w:rPr>
              <w:t>etmek</w:t>
            </w:r>
            <w:r>
              <w:rPr>
                <w:spacing w:val="-4"/>
                <w:sz w:val="23"/>
              </w:rPr>
              <w:t xml:space="preserve"> </w:t>
            </w:r>
            <w:r>
              <w:rPr>
                <w:sz w:val="23"/>
              </w:rPr>
              <w:t>ve</w:t>
            </w:r>
            <w:r>
              <w:rPr>
                <w:spacing w:val="2"/>
                <w:sz w:val="23"/>
              </w:rPr>
              <w:t xml:space="preserve"> </w:t>
            </w:r>
            <w:r>
              <w:rPr>
                <w:spacing w:val="-2"/>
                <w:sz w:val="23"/>
              </w:rPr>
              <w:t>yürütmek,</w:t>
            </w:r>
          </w:p>
          <w:p w:rsidR="00C661E7" w:rsidRDefault="00C661E7">
            <w:pPr>
              <w:pStyle w:val="TableParagraph"/>
              <w:spacing w:before="33"/>
              <w:ind w:left="0"/>
              <w:rPr>
                <w:sz w:val="23"/>
              </w:rPr>
            </w:pPr>
          </w:p>
          <w:p w:rsidR="00C661E7" w:rsidRDefault="0003537C">
            <w:pPr>
              <w:pStyle w:val="TableParagraph"/>
              <w:numPr>
                <w:ilvl w:val="0"/>
                <w:numId w:val="1"/>
              </w:numPr>
              <w:tabs>
                <w:tab w:val="left" w:pos="928"/>
              </w:tabs>
              <w:spacing w:line="218" w:lineRule="auto"/>
              <w:ind w:right="103" w:hanging="360"/>
              <w:jc w:val="both"/>
              <w:rPr>
                <w:sz w:val="23"/>
              </w:rPr>
            </w:pPr>
            <w:r>
              <w:rPr>
                <w:sz w:val="23"/>
              </w:rPr>
              <w:t xml:space="preserve">Enstitünün telefon faturalarını takip etmek, süresi içerisinde faturaların ödenmesini </w:t>
            </w:r>
            <w:r>
              <w:rPr>
                <w:spacing w:val="-2"/>
                <w:sz w:val="23"/>
              </w:rPr>
              <w:t>sağlamak,</w:t>
            </w:r>
          </w:p>
          <w:p w:rsidR="00C661E7" w:rsidRDefault="0003537C">
            <w:pPr>
              <w:pStyle w:val="TableParagraph"/>
              <w:numPr>
                <w:ilvl w:val="0"/>
                <w:numId w:val="1"/>
              </w:numPr>
              <w:tabs>
                <w:tab w:val="left" w:pos="928"/>
              </w:tabs>
              <w:spacing w:before="236" w:line="218" w:lineRule="auto"/>
              <w:ind w:right="110" w:hanging="360"/>
              <w:jc w:val="both"/>
              <w:rPr>
                <w:sz w:val="23"/>
              </w:rPr>
            </w:pPr>
            <w:r>
              <w:rPr>
                <w:sz w:val="23"/>
              </w:rPr>
              <w:t>Muhasebe işlem fişlerini veya ödeme emri belgelerini Strateji Geliştirme Daire Başkanlığına teslim ederek sonucunu takip etmek,</w:t>
            </w:r>
          </w:p>
          <w:p w:rsidR="00C661E7" w:rsidRDefault="00C661E7">
            <w:pPr>
              <w:pStyle w:val="TableParagraph"/>
              <w:spacing w:before="40"/>
              <w:ind w:left="0"/>
              <w:rPr>
                <w:sz w:val="23"/>
              </w:rPr>
            </w:pPr>
          </w:p>
          <w:p w:rsidR="00C661E7" w:rsidRDefault="0003537C">
            <w:pPr>
              <w:pStyle w:val="TableParagraph"/>
              <w:numPr>
                <w:ilvl w:val="0"/>
                <w:numId w:val="1"/>
              </w:numPr>
              <w:tabs>
                <w:tab w:val="left" w:pos="928"/>
              </w:tabs>
              <w:spacing w:line="218" w:lineRule="auto"/>
              <w:ind w:right="95" w:hanging="360"/>
              <w:jc w:val="both"/>
              <w:rPr>
                <w:sz w:val="23"/>
              </w:rPr>
            </w:pPr>
            <w:r>
              <w:rPr>
                <w:sz w:val="23"/>
              </w:rPr>
              <w:t>Ödemeye</w:t>
            </w:r>
            <w:r>
              <w:rPr>
                <w:spacing w:val="-4"/>
                <w:sz w:val="23"/>
              </w:rPr>
              <w:t xml:space="preserve"> </w:t>
            </w:r>
            <w:r>
              <w:rPr>
                <w:sz w:val="23"/>
              </w:rPr>
              <w:t>bağlanan</w:t>
            </w:r>
            <w:r>
              <w:rPr>
                <w:spacing w:val="-4"/>
                <w:sz w:val="23"/>
              </w:rPr>
              <w:t xml:space="preserve"> </w:t>
            </w:r>
            <w:r>
              <w:rPr>
                <w:sz w:val="23"/>
              </w:rPr>
              <w:t>her</w:t>
            </w:r>
            <w:r>
              <w:rPr>
                <w:spacing w:val="-4"/>
                <w:sz w:val="23"/>
              </w:rPr>
              <w:t xml:space="preserve"> </w:t>
            </w:r>
            <w:r>
              <w:rPr>
                <w:sz w:val="23"/>
              </w:rPr>
              <w:t>türlü</w:t>
            </w:r>
            <w:r>
              <w:rPr>
                <w:spacing w:val="-4"/>
                <w:sz w:val="23"/>
              </w:rPr>
              <w:t xml:space="preserve"> </w:t>
            </w:r>
            <w:r>
              <w:rPr>
                <w:sz w:val="23"/>
              </w:rPr>
              <w:t>belg</w:t>
            </w:r>
            <w:r>
              <w:rPr>
                <w:sz w:val="23"/>
              </w:rPr>
              <w:t>eyi,</w:t>
            </w:r>
            <w:r>
              <w:rPr>
                <w:spacing w:val="-4"/>
                <w:sz w:val="23"/>
              </w:rPr>
              <w:t xml:space="preserve"> </w:t>
            </w:r>
            <w:r>
              <w:rPr>
                <w:sz w:val="23"/>
              </w:rPr>
              <w:t>Merkezî</w:t>
            </w:r>
            <w:r>
              <w:rPr>
                <w:spacing w:val="-4"/>
                <w:sz w:val="23"/>
              </w:rPr>
              <w:t xml:space="preserve"> </w:t>
            </w:r>
            <w:r>
              <w:rPr>
                <w:sz w:val="23"/>
              </w:rPr>
              <w:t>Yönetim</w:t>
            </w:r>
            <w:r>
              <w:rPr>
                <w:spacing w:val="-4"/>
                <w:sz w:val="23"/>
              </w:rPr>
              <w:t xml:space="preserve"> </w:t>
            </w:r>
            <w:r>
              <w:rPr>
                <w:sz w:val="23"/>
              </w:rPr>
              <w:t>Harcama</w:t>
            </w:r>
            <w:r>
              <w:rPr>
                <w:spacing w:val="-4"/>
                <w:sz w:val="23"/>
              </w:rPr>
              <w:t xml:space="preserve"> </w:t>
            </w:r>
            <w:r>
              <w:rPr>
                <w:sz w:val="23"/>
              </w:rPr>
              <w:t>Belgeleri</w:t>
            </w:r>
            <w:r>
              <w:rPr>
                <w:spacing w:val="-4"/>
                <w:sz w:val="23"/>
              </w:rPr>
              <w:t xml:space="preserve"> </w:t>
            </w:r>
            <w:r>
              <w:rPr>
                <w:sz w:val="23"/>
              </w:rPr>
              <w:t>Yönetmeliğinde belirtilen</w:t>
            </w:r>
            <w:r>
              <w:rPr>
                <w:spacing w:val="-3"/>
                <w:sz w:val="23"/>
              </w:rPr>
              <w:t xml:space="preserve"> </w:t>
            </w:r>
            <w:r>
              <w:rPr>
                <w:sz w:val="23"/>
              </w:rPr>
              <w:t>evrakları</w:t>
            </w:r>
            <w:r>
              <w:rPr>
                <w:spacing w:val="-1"/>
                <w:sz w:val="23"/>
              </w:rPr>
              <w:t xml:space="preserve"> </w:t>
            </w:r>
            <w:r>
              <w:rPr>
                <w:sz w:val="23"/>
              </w:rPr>
              <w:t>ile</w:t>
            </w:r>
            <w:r>
              <w:rPr>
                <w:spacing w:val="-1"/>
                <w:sz w:val="23"/>
              </w:rPr>
              <w:t xml:space="preserve"> </w:t>
            </w:r>
            <w:r>
              <w:rPr>
                <w:sz w:val="23"/>
              </w:rPr>
              <w:t>birlikte</w:t>
            </w:r>
            <w:r>
              <w:rPr>
                <w:spacing w:val="-1"/>
                <w:sz w:val="23"/>
              </w:rPr>
              <w:t xml:space="preserve"> </w:t>
            </w:r>
            <w:r>
              <w:rPr>
                <w:sz w:val="23"/>
              </w:rPr>
              <w:t>dosyalamak,</w:t>
            </w:r>
            <w:r>
              <w:rPr>
                <w:spacing w:val="-3"/>
                <w:sz w:val="23"/>
              </w:rPr>
              <w:t xml:space="preserve"> </w:t>
            </w:r>
            <w:r>
              <w:rPr>
                <w:sz w:val="23"/>
              </w:rPr>
              <w:t>muhafaza</w:t>
            </w:r>
            <w:r>
              <w:rPr>
                <w:spacing w:val="-3"/>
                <w:sz w:val="23"/>
              </w:rPr>
              <w:t xml:space="preserve"> </w:t>
            </w:r>
            <w:r>
              <w:rPr>
                <w:sz w:val="23"/>
              </w:rPr>
              <w:t>etmek</w:t>
            </w:r>
            <w:r>
              <w:rPr>
                <w:spacing w:val="-1"/>
                <w:sz w:val="23"/>
              </w:rPr>
              <w:t xml:space="preserve"> </w:t>
            </w:r>
            <w:r>
              <w:rPr>
                <w:sz w:val="23"/>
              </w:rPr>
              <w:t>ve</w:t>
            </w:r>
            <w:r>
              <w:rPr>
                <w:spacing w:val="-1"/>
                <w:sz w:val="23"/>
              </w:rPr>
              <w:t xml:space="preserve"> </w:t>
            </w:r>
            <w:r>
              <w:rPr>
                <w:sz w:val="23"/>
              </w:rPr>
              <w:t>gerektiğinde</w:t>
            </w:r>
            <w:r>
              <w:rPr>
                <w:spacing w:val="-1"/>
                <w:sz w:val="23"/>
              </w:rPr>
              <w:t xml:space="preserve"> </w:t>
            </w:r>
            <w:r>
              <w:rPr>
                <w:sz w:val="23"/>
              </w:rPr>
              <w:t>denetime</w:t>
            </w:r>
            <w:r>
              <w:rPr>
                <w:spacing w:val="-1"/>
                <w:sz w:val="23"/>
              </w:rPr>
              <w:t xml:space="preserve"> </w:t>
            </w:r>
            <w:r>
              <w:rPr>
                <w:sz w:val="23"/>
              </w:rPr>
              <w:t>hazır hale getirmek,</w:t>
            </w:r>
          </w:p>
          <w:p w:rsidR="00C661E7" w:rsidRDefault="00C661E7">
            <w:pPr>
              <w:pStyle w:val="TableParagraph"/>
              <w:spacing w:before="38"/>
              <w:ind w:left="0"/>
              <w:rPr>
                <w:sz w:val="23"/>
              </w:rPr>
            </w:pPr>
          </w:p>
          <w:p w:rsidR="00C661E7" w:rsidRDefault="0003537C">
            <w:pPr>
              <w:pStyle w:val="TableParagraph"/>
              <w:numPr>
                <w:ilvl w:val="0"/>
                <w:numId w:val="1"/>
              </w:numPr>
              <w:tabs>
                <w:tab w:val="left" w:pos="928"/>
              </w:tabs>
              <w:spacing w:line="218" w:lineRule="auto"/>
              <w:ind w:right="87" w:hanging="360"/>
              <w:jc w:val="both"/>
              <w:rPr>
                <w:sz w:val="23"/>
              </w:rPr>
            </w:pPr>
            <w:r>
              <w:rPr>
                <w:sz w:val="23"/>
              </w:rPr>
              <w:t>Sorumluluk alanına giren konularla ilgili (657 Sayılı Devlet Memurları Kanunu, 2547 Sayılı Yük</w:t>
            </w:r>
            <w:r>
              <w:rPr>
                <w:sz w:val="23"/>
              </w:rPr>
              <w:t>seköğretim Kanunu, 2914 Sayılı Yükseköğretim Personel Kanunu, 5734 Sayılı Kamu İhale Konunu, 5018 Sayılı Kamu Mali Yönetimi ve Kontrol Kanunu, Taşınır Mal Yönetmeliği, Merkezî Yönetim Harcama Belgeleri Yönetmeliği vb.) mevzuatı takip etmek ve uygulamak,</w:t>
            </w:r>
          </w:p>
          <w:p w:rsidR="00C661E7" w:rsidRPr="00845C00" w:rsidRDefault="0003537C">
            <w:pPr>
              <w:pStyle w:val="TableParagraph"/>
              <w:numPr>
                <w:ilvl w:val="0"/>
                <w:numId w:val="1"/>
              </w:numPr>
              <w:tabs>
                <w:tab w:val="left" w:pos="860"/>
              </w:tabs>
              <w:spacing w:before="215"/>
              <w:ind w:left="860" w:hanging="263"/>
              <w:rPr>
                <w:sz w:val="23"/>
              </w:rPr>
            </w:pPr>
            <w:r>
              <w:rPr>
                <w:sz w:val="23"/>
              </w:rPr>
              <w:t>Müdür</w:t>
            </w:r>
            <w:r>
              <w:rPr>
                <w:spacing w:val="-4"/>
                <w:sz w:val="23"/>
              </w:rPr>
              <w:t xml:space="preserve"> </w:t>
            </w:r>
            <w:r>
              <w:rPr>
                <w:sz w:val="23"/>
              </w:rPr>
              <w:t>ve</w:t>
            </w:r>
            <w:r>
              <w:rPr>
                <w:spacing w:val="-4"/>
                <w:sz w:val="23"/>
              </w:rPr>
              <w:t xml:space="preserve"> </w:t>
            </w:r>
            <w:r>
              <w:rPr>
                <w:sz w:val="23"/>
              </w:rPr>
              <w:t>Enstitü</w:t>
            </w:r>
            <w:r>
              <w:rPr>
                <w:spacing w:val="-3"/>
                <w:sz w:val="23"/>
              </w:rPr>
              <w:t xml:space="preserve"> </w:t>
            </w:r>
            <w:r>
              <w:rPr>
                <w:sz w:val="23"/>
              </w:rPr>
              <w:t>Sekreterinin</w:t>
            </w:r>
            <w:r>
              <w:rPr>
                <w:spacing w:val="-4"/>
                <w:sz w:val="23"/>
              </w:rPr>
              <w:t xml:space="preserve"> </w:t>
            </w:r>
            <w:r>
              <w:rPr>
                <w:sz w:val="23"/>
              </w:rPr>
              <w:t>vereceği</w:t>
            </w:r>
            <w:r>
              <w:rPr>
                <w:spacing w:val="-5"/>
                <w:sz w:val="23"/>
              </w:rPr>
              <w:t xml:space="preserve"> </w:t>
            </w:r>
            <w:r>
              <w:rPr>
                <w:sz w:val="23"/>
              </w:rPr>
              <w:t>diğer</w:t>
            </w:r>
            <w:r>
              <w:rPr>
                <w:spacing w:val="-4"/>
                <w:sz w:val="23"/>
              </w:rPr>
              <w:t xml:space="preserve"> </w:t>
            </w:r>
            <w:r>
              <w:rPr>
                <w:sz w:val="23"/>
              </w:rPr>
              <w:t>görevleri</w:t>
            </w:r>
            <w:r>
              <w:rPr>
                <w:spacing w:val="-3"/>
                <w:sz w:val="23"/>
              </w:rPr>
              <w:t xml:space="preserve"> </w:t>
            </w:r>
            <w:r>
              <w:rPr>
                <w:spacing w:val="-2"/>
                <w:sz w:val="23"/>
              </w:rPr>
              <w:t>yapmak.</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Satın alma ile ilgili kurum içi ve kurum dışı yazışmaları yapmak,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Enstitünün ihtiyaç duyduğu mal ve hizmetlerin satın almasını yapmak üzere Piyasa araştırması yaparak teklifleri almak,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Enstitünün ihtiyaç duyduğu mal ve hizmetlerin satın alınması ile ilgili işleri takip etmek ve Satın Alma Onay Belgesini hazırlamak, </w:t>
            </w:r>
            <w:r w:rsidRPr="00845C00">
              <w:rPr>
                <w:rFonts w:ascii="Segoe UI Symbol" w:hAnsi="Segoe UI Symbol" w:cs="Segoe UI Symbol"/>
                <w:sz w:val="23"/>
              </w:rPr>
              <w:t>✓</w:t>
            </w:r>
            <w:r w:rsidRPr="00845C00">
              <w:rPr>
                <w:sz w:val="23"/>
              </w:rPr>
              <w:t xml:space="preserve"> Satın alınan malları Taşınır Kayıt Kontrol </w:t>
            </w:r>
            <w:r w:rsidRPr="00845C00">
              <w:rPr>
                <w:sz w:val="23"/>
              </w:rPr>
              <w:lastRenderedPageBreak/>
              <w:t xml:space="preserve">Birimine teslim etmek, </w:t>
            </w:r>
          </w:p>
          <w:p w:rsidR="00845C00" w:rsidRDefault="00845C00">
            <w:pPr>
              <w:pStyle w:val="TableParagraph"/>
              <w:numPr>
                <w:ilvl w:val="0"/>
                <w:numId w:val="1"/>
              </w:numPr>
              <w:tabs>
                <w:tab w:val="left" w:pos="860"/>
              </w:tabs>
              <w:spacing w:before="215"/>
              <w:ind w:left="860" w:hanging="263"/>
              <w:rPr>
                <w:sz w:val="23"/>
              </w:rPr>
            </w:pPr>
            <w:r w:rsidRPr="00845C00">
              <w:rPr>
                <w:sz w:val="23"/>
              </w:rPr>
              <w:t>Müdür ve Enstitü Sekreterinin vereceği diğer görevleri yapmak.</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Mali İşler ile ilgili kurum içi ve kurum dışı yazışmaları yapmak,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Enstitü personelinin maaş ve yolluklarını hesaplamak, ödeme emri belgesini düzenlemek,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Akademik personelin ek ders ücretleri ile ilgili işleri takip etmek ve ödeme emirlerini düzenlemek,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İdari personelin giyim yardımlarına ilişkin işleri takip etmek ve ödeme emirlerini düzenlemek,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Emekli kesenekleri ve bildirgelerin internet ortamında veri girişlerinin yapılmasını Strateji Geliştirme Daire Başkanlığı ile koordineli bir şekilde yürütmek,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Akademik ve idari Personelin yurt içi ve yurt dışı geçici görev yollukları ile sürekli görev yolluklarına ilişkin işleri takip etmek ve ödeme emirlerini düzenlemek,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Enstitü bütçe çalışmaları ile ilgili işlemleri takip etmek ve yürütmek,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 Enstitünün telefon faturalarını takip etmek, süresi içerisinde faturaların ödenmesini sağlamak,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Muhasebe işlem fişlerini veya ödeme emri belgelerini Strateji Geliştirme Daire Başkanlığına teslim ederek sonucunu takip etmek,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Ödemeye bağlanan her türlü belgeyi, Merkezî Yönetim Harcama Belgeleri Yönetmeliğinde belirtilen evrakları ile birlikte dosyalamak, muhafaza etmek ve gerektiğinde denetime hazır hale getirmek, </w:t>
            </w:r>
          </w:p>
          <w:p w:rsidR="00845C00" w:rsidRDefault="00845C00">
            <w:pPr>
              <w:pStyle w:val="TableParagraph"/>
              <w:numPr>
                <w:ilvl w:val="0"/>
                <w:numId w:val="1"/>
              </w:numPr>
              <w:tabs>
                <w:tab w:val="left" w:pos="860"/>
              </w:tabs>
              <w:spacing w:before="215"/>
              <w:ind w:left="860" w:hanging="263"/>
              <w:rPr>
                <w:sz w:val="23"/>
              </w:rPr>
            </w:pPr>
            <w:r w:rsidRPr="00845C00">
              <w:rPr>
                <w:sz w:val="23"/>
              </w:rPr>
              <w:t>Sorumluluk alanına giren konularla ilgili (657 Sayılı Devlet Memurları Kanunu, 2547 Sayılı Yükseköğretim Kanunu, 2914 Sayılı Yükseköğretim Personel Kanunu, 5734 Sayılı Kamu İhale Konunu, 5018 Sayılı Kamu Mali Yönetimi ve Kontrol Kanunu, Taşınır Mal Yönetmeliği, Merkezî Yönetim Harcama Belgeleri Yönetmeliği vb.) mevzuatı takip etmek ve uygulamak,</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Harcama birimlerince edinilen taşınırlardan muayene ve kabulü yapılanları cins ve niteliklerine göre sayarak teslim almak, doğrudan tüketilmeyen ve kullanıma verilmeyen taşınırları sorumluluğundaki ambarda muhafaza etmek,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Taşınırların giriş ve çıkışına ilişkin kayıtları tutmak, bunlara ilişkin belge ve cetvelleri düzenlemek ve taşınır yönetim hesap cetvellerini ilgili birimlere göndermek,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Tüketime veya kullanıma verilmesi uygun görülen taşınırları ilgililere teslim etmek,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Taşınırların yangına, ıslanmaya, bozulmaya, çalınmaya vb. tehlikelere karşı korunması için gerekli tedbirleri almak ve alınmasını sağlamak,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Ambar sayımı ve stok kontrolünü yapmak, harcama yetkilisine bildirmek,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Sorumlu oldukları depolarda, kasıt, kusur, ihmal veya tedbirsizlik nedeniyle meydana gelebilecek kayıp ve zararları önleyici tedbirleri almak, harcama yetkilisine bildirmek,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Sorumluluğunda bulunan depoları devir teslim yapmadan görevinden ayrılmamak,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Depoların temiz ve düzenli olmasını sağlamak,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Birimlerce iade edilen demirbaş malzemeyi almak, bozuk, tamiri mümkün olmayanları kayıtlardan silmek, hurdaya ayrılan malzemeyi imha etmek ya da gösterilen yere tutanakla teslim edilmesini sağlamak, </w:t>
            </w:r>
          </w:p>
          <w:p w:rsidR="00845C00" w:rsidRDefault="00845C00">
            <w:pPr>
              <w:pStyle w:val="TableParagraph"/>
              <w:numPr>
                <w:ilvl w:val="0"/>
                <w:numId w:val="1"/>
              </w:numPr>
              <w:tabs>
                <w:tab w:val="left" w:pos="860"/>
              </w:tabs>
              <w:spacing w:before="215"/>
              <w:ind w:left="860" w:hanging="263"/>
              <w:rPr>
                <w:sz w:val="23"/>
              </w:rPr>
            </w:pPr>
            <w:r w:rsidRPr="00845C00">
              <w:rPr>
                <w:sz w:val="23"/>
              </w:rPr>
              <w:lastRenderedPageBreak/>
              <w:t xml:space="preserve">Hibe yoluyla verilen malzemeleri kayıt altına almak,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Yılsonu itibariyle taşınır malların giriş-çıkış kayıtlarının ve demirbaş eşyaların kesin hesaplarının hazırlanarak imzalandıktan sonra ilgili birimlere gönderilmesini sağlamak. </w:t>
            </w:r>
          </w:p>
          <w:p w:rsidR="00845C00" w:rsidRDefault="00845C00">
            <w:pPr>
              <w:pStyle w:val="TableParagraph"/>
              <w:numPr>
                <w:ilvl w:val="0"/>
                <w:numId w:val="1"/>
              </w:numPr>
              <w:tabs>
                <w:tab w:val="left" w:pos="860"/>
              </w:tabs>
              <w:spacing w:before="215"/>
              <w:ind w:left="860" w:hanging="263"/>
              <w:rPr>
                <w:sz w:val="23"/>
              </w:rPr>
            </w:pPr>
            <w:r w:rsidRPr="00845C00">
              <w:rPr>
                <w:sz w:val="23"/>
              </w:rPr>
              <w:t xml:space="preserve">Taşınır işlem fişi düzenlemek, </w:t>
            </w:r>
          </w:p>
          <w:p w:rsidR="00845C00" w:rsidRDefault="00845C00">
            <w:pPr>
              <w:pStyle w:val="TableParagraph"/>
              <w:numPr>
                <w:ilvl w:val="0"/>
                <w:numId w:val="1"/>
              </w:numPr>
              <w:tabs>
                <w:tab w:val="left" w:pos="860"/>
              </w:tabs>
              <w:spacing w:before="215"/>
              <w:ind w:left="860" w:hanging="263"/>
              <w:rPr>
                <w:sz w:val="23"/>
              </w:rPr>
            </w:pPr>
            <w:r w:rsidRPr="00845C00">
              <w:rPr>
                <w:sz w:val="23"/>
              </w:rPr>
              <w:t>Müdür ve Enstitü Sekreterinin vereceği diğer görevleri yapmak.</w:t>
            </w:r>
          </w:p>
        </w:tc>
      </w:tr>
      <w:tr w:rsidR="00C661E7">
        <w:trPr>
          <w:trHeight w:val="325"/>
        </w:trPr>
        <w:tc>
          <w:tcPr>
            <w:tcW w:w="3172" w:type="dxa"/>
            <w:gridSpan w:val="2"/>
            <w:tcBorders>
              <w:left w:val="double" w:sz="2" w:space="0" w:color="EEEEEE"/>
              <w:bottom w:val="double" w:sz="4" w:space="0" w:color="9F9F9F"/>
            </w:tcBorders>
          </w:tcPr>
          <w:p w:rsidR="00C661E7" w:rsidRDefault="0003537C">
            <w:pPr>
              <w:pStyle w:val="TableParagraph"/>
              <w:spacing w:before="41"/>
              <w:ind w:left="84"/>
              <w:rPr>
                <w:b/>
                <w:sz w:val="20"/>
              </w:rPr>
            </w:pPr>
            <w:r>
              <w:rPr>
                <w:b/>
                <w:sz w:val="20"/>
              </w:rPr>
              <w:lastRenderedPageBreak/>
              <w:t>DİĞER</w:t>
            </w:r>
            <w:r>
              <w:rPr>
                <w:b/>
                <w:spacing w:val="-10"/>
                <w:sz w:val="20"/>
              </w:rPr>
              <w:t xml:space="preserve"> </w:t>
            </w:r>
            <w:r>
              <w:rPr>
                <w:b/>
                <w:sz w:val="20"/>
              </w:rPr>
              <w:t>BİRİMLERLE</w:t>
            </w:r>
            <w:r>
              <w:rPr>
                <w:b/>
                <w:spacing w:val="-12"/>
                <w:sz w:val="20"/>
              </w:rPr>
              <w:t xml:space="preserve"> </w:t>
            </w:r>
            <w:r>
              <w:rPr>
                <w:b/>
                <w:spacing w:val="-2"/>
                <w:sz w:val="20"/>
              </w:rPr>
              <w:t>İLİŞKİSİ:</w:t>
            </w:r>
          </w:p>
        </w:tc>
        <w:tc>
          <w:tcPr>
            <w:tcW w:w="6289" w:type="dxa"/>
            <w:tcBorders>
              <w:bottom w:val="double" w:sz="4" w:space="0" w:color="9F9F9F"/>
            </w:tcBorders>
          </w:tcPr>
          <w:p w:rsidR="00C661E7" w:rsidRDefault="0003537C">
            <w:pPr>
              <w:pStyle w:val="TableParagraph"/>
              <w:spacing w:line="261" w:lineRule="exact"/>
              <w:ind w:left="200"/>
              <w:rPr>
                <w:sz w:val="23"/>
              </w:rPr>
            </w:pPr>
            <w:r>
              <w:rPr>
                <w:sz w:val="23"/>
              </w:rPr>
              <w:t>Tüm</w:t>
            </w:r>
            <w:r>
              <w:rPr>
                <w:spacing w:val="-2"/>
                <w:sz w:val="23"/>
              </w:rPr>
              <w:t xml:space="preserve"> Birimler</w:t>
            </w:r>
          </w:p>
        </w:tc>
      </w:tr>
    </w:tbl>
    <w:p w:rsidR="0003537C" w:rsidRDefault="0003537C"/>
    <w:sectPr w:rsidR="0003537C">
      <w:type w:val="continuous"/>
      <w:pgSz w:w="11920" w:h="16850"/>
      <w:pgMar w:top="980" w:right="1133"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2561B"/>
    <w:multiLevelType w:val="hybridMultilevel"/>
    <w:tmpl w:val="0466212C"/>
    <w:lvl w:ilvl="0" w:tplc="2188C8BA">
      <w:numFmt w:val="bullet"/>
      <w:lvlText w:val=""/>
      <w:lvlJc w:val="left"/>
      <w:pPr>
        <w:ind w:left="928" w:hanging="363"/>
      </w:pPr>
      <w:rPr>
        <w:rFonts w:ascii="Wingdings" w:eastAsia="Wingdings" w:hAnsi="Wingdings" w:cs="Wingdings" w:hint="default"/>
        <w:b w:val="0"/>
        <w:bCs w:val="0"/>
        <w:i w:val="0"/>
        <w:iCs w:val="0"/>
        <w:spacing w:val="0"/>
        <w:w w:val="100"/>
        <w:sz w:val="23"/>
        <w:szCs w:val="23"/>
        <w:lang w:val="tr-TR" w:eastAsia="en-US" w:bidi="ar-SA"/>
      </w:rPr>
    </w:lvl>
    <w:lvl w:ilvl="1" w:tplc="3B78D8B6">
      <w:numFmt w:val="bullet"/>
      <w:lvlText w:val="•"/>
      <w:lvlJc w:val="left"/>
      <w:pPr>
        <w:ind w:left="1772" w:hanging="363"/>
      </w:pPr>
      <w:rPr>
        <w:rFonts w:hint="default"/>
        <w:lang w:val="tr-TR" w:eastAsia="en-US" w:bidi="ar-SA"/>
      </w:rPr>
    </w:lvl>
    <w:lvl w:ilvl="2" w:tplc="676047F0">
      <w:numFmt w:val="bullet"/>
      <w:lvlText w:val="•"/>
      <w:lvlJc w:val="left"/>
      <w:pPr>
        <w:ind w:left="2625" w:hanging="363"/>
      </w:pPr>
      <w:rPr>
        <w:rFonts w:hint="default"/>
        <w:lang w:val="tr-TR" w:eastAsia="en-US" w:bidi="ar-SA"/>
      </w:rPr>
    </w:lvl>
    <w:lvl w:ilvl="3" w:tplc="34BED200">
      <w:numFmt w:val="bullet"/>
      <w:lvlText w:val="•"/>
      <w:lvlJc w:val="left"/>
      <w:pPr>
        <w:ind w:left="3477" w:hanging="363"/>
      </w:pPr>
      <w:rPr>
        <w:rFonts w:hint="default"/>
        <w:lang w:val="tr-TR" w:eastAsia="en-US" w:bidi="ar-SA"/>
      </w:rPr>
    </w:lvl>
    <w:lvl w:ilvl="4" w:tplc="D24EB31A">
      <w:numFmt w:val="bullet"/>
      <w:lvlText w:val="•"/>
      <w:lvlJc w:val="left"/>
      <w:pPr>
        <w:ind w:left="4330" w:hanging="363"/>
      </w:pPr>
      <w:rPr>
        <w:rFonts w:hint="default"/>
        <w:lang w:val="tr-TR" w:eastAsia="en-US" w:bidi="ar-SA"/>
      </w:rPr>
    </w:lvl>
    <w:lvl w:ilvl="5" w:tplc="78E8D74E">
      <w:numFmt w:val="bullet"/>
      <w:lvlText w:val="•"/>
      <w:lvlJc w:val="left"/>
      <w:pPr>
        <w:ind w:left="5183" w:hanging="363"/>
      </w:pPr>
      <w:rPr>
        <w:rFonts w:hint="default"/>
        <w:lang w:val="tr-TR" w:eastAsia="en-US" w:bidi="ar-SA"/>
      </w:rPr>
    </w:lvl>
    <w:lvl w:ilvl="6" w:tplc="50DA0BD2">
      <w:numFmt w:val="bullet"/>
      <w:lvlText w:val="•"/>
      <w:lvlJc w:val="left"/>
      <w:pPr>
        <w:ind w:left="6035" w:hanging="363"/>
      </w:pPr>
      <w:rPr>
        <w:rFonts w:hint="default"/>
        <w:lang w:val="tr-TR" w:eastAsia="en-US" w:bidi="ar-SA"/>
      </w:rPr>
    </w:lvl>
    <w:lvl w:ilvl="7" w:tplc="B8CC1B1E">
      <w:numFmt w:val="bullet"/>
      <w:lvlText w:val="•"/>
      <w:lvlJc w:val="left"/>
      <w:pPr>
        <w:ind w:left="6888" w:hanging="363"/>
      </w:pPr>
      <w:rPr>
        <w:rFonts w:hint="default"/>
        <w:lang w:val="tr-TR" w:eastAsia="en-US" w:bidi="ar-SA"/>
      </w:rPr>
    </w:lvl>
    <w:lvl w:ilvl="8" w:tplc="ABE03B70">
      <w:numFmt w:val="bullet"/>
      <w:lvlText w:val="•"/>
      <w:lvlJc w:val="left"/>
      <w:pPr>
        <w:ind w:left="7740" w:hanging="363"/>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E7"/>
    <w:rsid w:val="0003537C"/>
    <w:rsid w:val="00845C00"/>
    <w:rsid w:val="00C661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4435"/>
  <w15:docId w15:val="{7E4FA301-C9CE-4C7C-8DD3-84127AB6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
    <w:qFormat/>
    <w:pPr>
      <w:spacing w:before="1"/>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9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ProOne 440</cp:lastModifiedBy>
  <cp:revision>2</cp:revision>
  <dcterms:created xsi:type="dcterms:W3CDTF">2025-11-29T13:49:00Z</dcterms:created>
  <dcterms:modified xsi:type="dcterms:W3CDTF">2025-11-29T13:49:00Z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Word Microsoft 365 için</vt:lpwstr>
  </property>
  <property fmtid="{D5CDD505-2E9C-101B-9397-08002B2CF9AE}" pid="4" name="LastSaved">
    <vt:filetime>2025-11-29T00:00:00Z</vt:filetime>
  </property>
  <property fmtid="{D5CDD505-2E9C-101B-9397-08002B2CF9AE}" pid="5" name="Producer">
    <vt:lpwstr>Microsoft® Word Microsoft 365 için</vt:lpwstr>
  </property>
</Properties>
</file>