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1299"/>
        <w:gridCol w:w="6361"/>
      </w:tblGrid>
      <w:tr w:rsidR="00AF50D9">
        <w:trPr>
          <w:trHeight w:val="1839"/>
        </w:trPr>
        <w:tc>
          <w:tcPr>
            <w:tcW w:w="1829" w:type="dxa"/>
            <w:tcBorders>
              <w:left w:val="triple" w:sz="6" w:space="0" w:color="EEEEEE"/>
              <w:bottom w:val="thinThickThinSmallGap" w:sz="12" w:space="0" w:color="9F9F9F"/>
            </w:tcBorders>
          </w:tcPr>
          <w:p w:rsidR="00AF50D9" w:rsidRDefault="00AF50D9">
            <w:pPr>
              <w:pStyle w:val="TableParagraph"/>
              <w:spacing w:before="3"/>
              <w:rPr>
                <w:sz w:val="4"/>
              </w:rPr>
            </w:pPr>
          </w:p>
          <w:p w:rsidR="00AF50D9" w:rsidRDefault="00DB09E6">
            <w:pPr>
              <w:pStyle w:val="TableParagraph"/>
              <w:ind w:left="46" w:right="-4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0C64EB58">
                  <wp:extent cx="1181100" cy="1219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0" w:type="dxa"/>
            <w:gridSpan w:val="2"/>
            <w:tcBorders>
              <w:bottom w:val="thinThickThinSmallGap" w:sz="12" w:space="0" w:color="9F9F9F"/>
            </w:tcBorders>
          </w:tcPr>
          <w:p w:rsidR="00DB09E6" w:rsidRPr="00DB09E6" w:rsidRDefault="00DB09E6" w:rsidP="00DB09E6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DB09E6">
              <w:rPr>
                <w:b/>
                <w:spacing w:val="-4"/>
                <w:sz w:val="28"/>
              </w:rPr>
              <w:t>T.C.</w:t>
            </w:r>
          </w:p>
          <w:p w:rsidR="00DB09E6" w:rsidRPr="00DB09E6" w:rsidRDefault="00DB09E6" w:rsidP="00DB09E6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DB09E6">
              <w:rPr>
                <w:b/>
                <w:spacing w:val="-4"/>
                <w:sz w:val="28"/>
              </w:rPr>
              <w:t>KÜTAHYA DUMLUPINAR ÜNİVERSİTESİ</w:t>
            </w:r>
          </w:p>
          <w:p w:rsidR="00DB09E6" w:rsidRPr="00DB09E6" w:rsidRDefault="00DB09E6" w:rsidP="00DB09E6">
            <w:pPr>
              <w:pStyle w:val="TableParagraph"/>
              <w:spacing w:before="194"/>
              <w:ind w:left="15"/>
              <w:jc w:val="center"/>
              <w:rPr>
                <w:b/>
                <w:spacing w:val="-4"/>
                <w:sz w:val="28"/>
              </w:rPr>
            </w:pPr>
            <w:r w:rsidRPr="00DB09E6">
              <w:rPr>
                <w:b/>
                <w:spacing w:val="-4"/>
                <w:sz w:val="28"/>
              </w:rPr>
              <w:t>LİSANSÜSTÜ EĞİTİM ENSTİTÜSÜ MÜDÜRLÜĞÜ</w:t>
            </w:r>
          </w:p>
          <w:p w:rsidR="00AF50D9" w:rsidRDefault="00DB09E6" w:rsidP="00DB09E6">
            <w:pPr>
              <w:pStyle w:val="TableParagraph"/>
              <w:spacing w:before="119"/>
              <w:ind w:left="15" w:right="7"/>
              <w:jc w:val="center"/>
              <w:rPr>
                <w:b/>
                <w:sz w:val="36"/>
              </w:rPr>
            </w:pPr>
            <w:r w:rsidRPr="00DB09E6">
              <w:rPr>
                <w:b/>
                <w:spacing w:val="-4"/>
                <w:sz w:val="28"/>
              </w:rPr>
              <w:t>BİRİM GÖREV TANIMLARI</w:t>
            </w:r>
          </w:p>
        </w:tc>
      </w:tr>
      <w:tr w:rsidR="00AF50D9">
        <w:trPr>
          <w:trHeight w:val="415"/>
        </w:trPr>
        <w:tc>
          <w:tcPr>
            <w:tcW w:w="3128" w:type="dxa"/>
            <w:gridSpan w:val="2"/>
            <w:tcBorders>
              <w:top w:val="thinThickThinSmallGap" w:sz="12" w:space="0" w:color="9F9F9F"/>
              <w:left w:val="double" w:sz="2" w:space="0" w:color="EEEEEE"/>
              <w:right w:val="double" w:sz="2" w:space="0" w:color="EEEEEE"/>
            </w:tcBorders>
          </w:tcPr>
          <w:p w:rsidR="00AF50D9" w:rsidRDefault="000704DF">
            <w:pPr>
              <w:pStyle w:val="TableParagraph"/>
              <w:spacing w:before="115"/>
              <w:ind w:left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361" w:type="dxa"/>
            <w:tcBorders>
              <w:top w:val="thinThickThinSmallGap" w:sz="12" w:space="0" w:color="9F9F9F"/>
              <w:left w:val="double" w:sz="2" w:space="0" w:color="EEEEEE"/>
            </w:tcBorders>
          </w:tcPr>
          <w:p w:rsidR="00AF50D9" w:rsidRDefault="000704DF">
            <w:pPr>
              <w:pStyle w:val="TableParagraph"/>
              <w:spacing w:before="122"/>
              <w:ind w:left="232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İşleri</w:t>
            </w:r>
          </w:p>
        </w:tc>
      </w:tr>
      <w:tr w:rsidR="00AF50D9">
        <w:trPr>
          <w:trHeight w:val="395"/>
        </w:trPr>
        <w:tc>
          <w:tcPr>
            <w:tcW w:w="3128" w:type="dxa"/>
            <w:gridSpan w:val="2"/>
            <w:tcBorders>
              <w:left w:val="double" w:sz="2" w:space="0" w:color="EEEEEE"/>
              <w:right w:val="double" w:sz="2" w:space="0" w:color="EEEEEE"/>
            </w:tcBorders>
          </w:tcPr>
          <w:p w:rsidR="00AF50D9" w:rsidRDefault="000704DF">
            <w:pPr>
              <w:pStyle w:val="TableParagraph"/>
              <w:spacing w:before="97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361" w:type="dxa"/>
            <w:tcBorders>
              <w:left w:val="double" w:sz="2" w:space="0" w:color="EEEEEE"/>
            </w:tcBorders>
          </w:tcPr>
          <w:p w:rsidR="00AF50D9" w:rsidRDefault="000704DF">
            <w:pPr>
              <w:pStyle w:val="TableParagraph"/>
              <w:spacing w:before="53"/>
              <w:ind w:left="232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2"/>
                <w:sz w:val="23"/>
              </w:rPr>
              <w:t xml:space="preserve"> Sekreterliği</w:t>
            </w:r>
          </w:p>
        </w:tc>
      </w:tr>
      <w:tr w:rsidR="00AF50D9">
        <w:trPr>
          <w:trHeight w:val="1086"/>
        </w:trPr>
        <w:tc>
          <w:tcPr>
            <w:tcW w:w="3128" w:type="dxa"/>
            <w:gridSpan w:val="2"/>
            <w:tcBorders>
              <w:left w:val="double" w:sz="2" w:space="0" w:color="EEEEEE"/>
            </w:tcBorders>
          </w:tcPr>
          <w:p w:rsidR="00AF50D9" w:rsidRDefault="00AF50D9">
            <w:pPr>
              <w:pStyle w:val="TableParagraph"/>
              <w:spacing w:before="166"/>
              <w:rPr>
                <w:sz w:val="24"/>
              </w:rPr>
            </w:pPr>
          </w:p>
          <w:p w:rsidR="00AF50D9" w:rsidRDefault="000704DF">
            <w:pPr>
              <w:pStyle w:val="TableParagraph"/>
              <w:spacing w:before="1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361" w:type="dxa"/>
          </w:tcPr>
          <w:p w:rsidR="00AF50D9" w:rsidRDefault="00DB09E6">
            <w:pPr>
              <w:pStyle w:val="TableParagraph"/>
              <w:spacing w:before="3"/>
              <w:ind w:left="232" w:right="93"/>
              <w:jc w:val="both"/>
              <w:rPr>
                <w:sz w:val="23"/>
              </w:rPr>
            </w:pPr>
            <w:r>
              <w:rPr>
                <w:sz w:val="23"/>
              </w:rPr>
              <w:t>Dumlupınar</w:t>
            </w:r>
            <w:r w:rsidR="000704DF">
              <w:rPr>
                <w:sz w:val="23"/>
              </w:rPr>
              <w:t xml:space="preserve"> Üniversitesi üst yönetimi ve Enstitü Müdürü tarafından belirlenen amaç ve ilkelere uygun olarak; Enstitünün öğrencileri ile ilgili kayıt, not, ders ve mezuniyet işlemlerini takip etmek, yürütmek ve sonuçlandırmak.</w:t>
            </w:r>
          </w:p>
        </w:tc>
      </w:tr>
      <w:tr w:rsidR="00AF50D9">
        <w:trPr>
          <w:trHeight w:val="400"/>
        </w:trPr>
        <w:tc>
          <w:tcPr>
            <w:tcW w:w="9489" w:type="dxa"/>
            <w:gridSpan w:val="3"/>
            <w:tcBorders>
              <w:left w:val="double" w:sz="2" w:space="0" w:color="EEEEEE"/>
            </w:tcBorders>
          </w:tcPr>
          <w:p w:rsidR="00AF50D9" w:rsidRDefault="000704DF">
            <w:pPr>
              <w:pStyle w:val="TableParagraph"/>
              <w:spacing w:before="102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AF50D9">
        <w:trPr>
          <w:trHeight w:val="10160"/>
        </w:trPr>
        <w:tc>
          <w:tcPr>
            <w:tcW w:w="9489" w:type="dxa"/>
            <w:gridSpan w:val="3"/>
            <w:tcBorders>
              <w:left w:val="double" w:sz="2" w:space="0" w:color="EEEEEE"/>
            </w:tcBorders>
          </w:tcPr>
          <w:p w:rsidR="00AF50D9" w:rsidRDefault="00AF50D9">
            <w:pPr>
              <w:pStyle w:val="TableParagraph"/>
              <w:spacing w:before="106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  <w:tab w:val="left" w:pos="739"/>
              </w:tabs>
              <w:spacing w:line="218" w:lineRule="auto"/>
              <w:ind w:right="-15"/>
              <w:jc w:val="both"/>
              <w:rPr>
                <w:sz w:val="23"/>
              </w:rPr>
            </w:pPr>
            <w:r>
              <w:rPr>
                <w:sz w:val="23"/>
              </w:rPr>
              <w:t>Sorumluluk alanına giren konularla ilgili (2547 Sayılı Yükseköğretim Kanunu, Lisansüstü Eğitim ve Öğretim Yönetmeliği, Yükseköğretim Kurumları Öğrenci Disiplin Yönetmeliği, Öğrenci Konseyi Yönerges</w:t>
            </w:r>
            <w:bookmarkStart w:id="0" w:name="_GoBack"/>
            <w:bookmarkEnd w:id="0"/>
            <w:r>
              <w:rPr>
                <w:sz w:val="23"/>
              </w:rPr>
              <w:t>i vb.) mevzuatı takip etmek ve uygulamak,</w:t>
            </w: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spacing w:before="219"/>
              <w:ind w:left="738" w:hanging="354"/>
              <w:rPr>
                <w:sz w:val="23"/>
              </w:rPr>
            </w:pPr>
            <w:r>
              <w:rPr>
                <w:sz w:val="23"/>
              </w:rPr>
              <w:t>Akademik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Takvim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z w:val="23"/>
              </w:rPr>
              <w:t>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alınan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Kararını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Rektörlüğe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bildirmek,</w:t>
            </w:r>
          </w:p>
          <w:p w:rsidR="00AF50D9" w:rsidRDefault="00AF50D9">
            <w:pPr>
              <w:pStyle w:val="TableParagraph"/>
              <w:spacing w:before="15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38"/>
              </w:tabs>
              <w:ind w:left="738" w:hanging="35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Planları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alınan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Kararını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Rektörlüğe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bildirmek,</w:t>
            </w: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37"/>
                <w:tab w:val="left" w:pos="739"/>
              </w:tabs>
              <w:spacing w:before="235" w:line="218" w:lineRule="auto"/>
              <w:ind w:right="1"/>
              <w:jc w:val="both"/>
              <w:rPr>
                <w:sz w:val="23"/>
              </w:rPr>
            </w:pPr>
            <w:r>
              <w:rPr>
                <w:sz w:val="23"/>
              </w:rPr>
              <w:t>Öğrenci kontenjanları ile ilgili alınan Enstitü Kurulu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Kararını Rektörlüğe bildirilmek, konu ile ilgili alınan Senato Kararını ilan etmek ve başvuruların alınması ile ilgili işlemleri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yapmak,</w:t>
            </w:r>
          </w:p>
          <w:p w:rsidR="00AF50D9" w:rsidRDefault="00AF50D9">
            <w:pPr>
              <w:pStyle w:val="TableParagraph"/>
              <w:spacing w:before="32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73" w:lineRule="auto"/>
              <w:ind w:left="746" w:right="-15" w:hanging="360"/>
              <w:rPr>
                <w:sz w:val="23"/>
              </w:rPr>
            </w:pPr>
            <w:r>
              <w:rPr>
                <w:sz w:val="23"/>
              </w:rPr>
              <w:t>Yatay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geçiş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kontenjanları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alınan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Kararını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Rektörlüğe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bildirilmek,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konu ile ilgili alınan Senato Kararını ilan etmek ve başvuruların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alınması ile ilgili işlemleri yapmak,</w:t>
            </w:r>
          </w:p>
          <w:p w:rsidR="00AF50D9" w:rsidRDefault="00AF50D9">
            <w:pPr>
              <w:pStyle w:val="TableParagraph"/>
              <w:spacing w:before="45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76" w:lineRule="auto"/>
              <w:ind w:left="746" w:right="1" w:hanging="360"/>
              <w:rPr>
                <w:sz w:val="23"/>
              </w:rPr>
            </w:pPr>
            <w:r>
              <w:rPr>
                <w:sz w:val="23"/>
              </w:rPr>
              <w:t>Öğrencilik hakkı kazananlar ile yatay geçiş hakkı kazananların kayıtlarını ve intibak işlerini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 xml:space="preserve">yapmak ve özlük bilgilerini öğrenci otomasyon sistemine </w:t>
            </w:r>
            <w:r>
              <w:rPr>
                <w:sz w:val="23"/>
              </w:rPr>
              <w:t>girmek,</w:t>
            </w:r>
          </w:p>
          <w:p w:rsidR="00AF50D9" w:rsidRDefault="00AF50D9">
            <w:pPr>
              <w:pStyle w:val="TableParagraph"/>
              <w:spacing w:before="39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ind w:left="745" w:hanging="361"/>
              <w:rPr>
                <w:sz w:val="23"/>
              </w:rPr>
            </w:pPr>
            <w:r>
              <w:rPr>
                <w:sz w:val="23"/>
              </w:rPr>
              <w:t>Öğrencilerin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özlük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dosyalarını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düzenlemek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arşivlemek,</w:t>
            </w:r>
          </w:p>
          <w:p w:rsidR="00AF50D9" w:rsidRDefault="00AF50D9">
            <w:pPr>
              <w:pStyle w:val="TableParagraph"/>
              <w:spacing w:before="81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76" w:lineRule="auto"/>
              <w:ind w:left="746" w:right="4" w:hanging="360"/>
              <w:rPr>
                <w:sz w:val="23"/>
              </w:rPr>
            </w:pPr>
            <w:r>
              <w:rPr>
                <w:sz w:val="23"/>
              </w:rPr>
              <w:t>Yeni kayıt yaptıran öğrencilere şifre vermek, istatistiklere dâhil etmek, ders seçimlerini takip etmek ve danışman atamaları ile ilgili işlemleri yapmak,</w:t>
            </w:r>
          </w:p>
          <w:p w:rsidR="00AF50D9" w:rsidRDefault="00AF50D9">
            <w:pPr>
              <w:pStyle w:val="TableParagraph"/>
              <w:spacing w:before="39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1"/>
              <w:ind w:left="745" w:hanging="361"/>
              <w:rPr>
                <w:sz w:val="23"/>
              </w:rPr>
            </w:pPr>
            <w:r>
              <w:rPr>
                <w:sz w:val="23"/>
              </w:rPr>
              <w:t>Öğrencilerin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durumlarını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askerlik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şubelerine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bildirmek,</w:t>
            </w:r>
          </w:p>
          <w:p w:rsidR="00AF50D9" w:rsidRDefault="00AF50D9">
            <w:pPr>
              <w:pStyle w:val="TableParagraph"/>
              <w:spacing w:before="80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73" w:lineRule="auto"/>
              <w:ind w:left="746" w:right="4" w:hanging="360"/>
              <w:rPr>
                <w:sz w:val="23"/>
              </w:rPr>
            </w:pPr>
            <w:r>
              <w:rPr>
                <w:sz w:val="23"/>
              </w:rPr>
              <w:t>Kayıt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dondurma/izinli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sayılma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isteğinde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bulunan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öğrencilerin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işlemlerini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yapmak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durumlarını takip etmek,</w:t>
            </w:r>
          </w:p>
          <w:p w:rsidR="00AF50D9" w:rsidRDefault="00AF50D9">
            <w:pPr>
              <w:pStyle w:val="TableParagraph"/>
              <w:spacing w:before="44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5"/>
              </w:tabs>
              <w:spacing w:before="1"/>
              <w:ind w:left="745" w:hanging="361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harçları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burs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işlemlerine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ilişkin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işleri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yapmak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etmek,</w:t>
            </w:r>
          </w:p>
          <w:p w:rsidR="00AF50D9" w:rsidRDefault="00AF50D9">
            <w:pPr>
              <w:pStyle w:val="TableParagraph"/>
              <w:spacing w:before="78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2"/>
              </w:numPr>
              <w:tabs>
                <w:tab w:val="left" w:pos="746"/>
              </w:tabs>
              <w:spacing w:line="273" w:lineRule="auto"/>
              <w:ind w:left="746" w:right="2" w:hanging="360"/>
              <w:rPr>
                <w:sz w:val="23"/>
              </w:rPr>
            </w:pPr>
            <w:r>
              <w:rPr>
                <w:sz w:val="23"/>
              </w:rPr>
              <w:t>Yabancı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uyruklu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öğrenciler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işlemleri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yapmak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genel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sağlık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sigortası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tescil işlemlerini güncellemek,</w:t>
            </w:r>
          </w:p>
        </w:tc>
      </w:tr>
    </w:tbl>
    <w:p w:rsidR="00AF50D9" w:rsidRDefault="00AF50D9">
      <w:pPr>
        <w:pStyle w:val="TableParagraph"/>
        <w:spacing w:line="273" w:lineRule="auto"/>
        <w:rPr>
          <w:sz w:val="23"/>
        </w:rPr>
        <w:sectPr w:rsidR="00AF50D9">
          <w:type w:val="continuous"/>
          <w:pgSz w:w="11920" w:h="16850"/>
          <w:pgMar w:top="960" w:right="1133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96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6364"/>
      </w:tblGrid>
      <w:tr w:rsidR="00AF50D9">
        <w:trPr>
          <w:trHeight w:val="8415"/>
        </w:trPr>
        <w:tc>
          <w:tcPr>
            <w:tcW w:w="9490" w:type="dxa"/>
            <w:gridSpan w:val="2"/>
            <w:tcBorders>
              <w:left w:val="double" w:sz="2" w:space="0" w:color="EEEEEE"/>
            </w:tcBorders>
          </w:tcPr>
          <w:p w:rsidR="00AF50D9" w:rsidRDefault="00AF50D9">
            <w:pPr>
              <w:pStyle w:val="TableParagraph"/>
              <w:spacing w:before="31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line="273" w:lineRule="auto"/>
              <w:ind w:right="34"/>
              <w:rPr>
                <w:sz w:val="23"/>
              </w:rPr>
            </w:pPr>
            <w:r>
              <w:rPr>
                <w:sz w:val="23"/>
              </w:rPr>
              <w:t>Ders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görevlendirme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işlemleri,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haftalık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programları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sınav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programları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işlemleri </w:t>
            </w:r>
            <w:r>
              <w:rPr>
                <w:spacing w:val="-2"/>
                <w:sz w:val="23"/>
              </w:rPr>
              <w:t>yapmak,</w:t>
            </w:r>
          </w:p>
          <w:p w:rsidR="00AF50D9" w:rsidRDefault="00AF50D9">
            <w:pPr>
              <w:pStyle w:val="TableParagraph"/>
              <w:spacing w:before="45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line="276" w:lineRule="auto"/>
              <w:ind w:right="97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öğrencilerin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ders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seçim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işlemlerini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etmek,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öğrencileri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konu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bilgilendirmek ve danışmanına yönlendirmek,</w:t>
            </w:r>
          </w:p>
          <w:p w:rsidR="00AF50D9" w:rsidRDefault="00AF50D9">
            <w:pPr>
              <w:pStyle w:val="TableParagraph"/>
              <w:spacing w:before="42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line="271" w:lineRule="auto"/>
              <w:ind w:right="974"/>
              <w:rPr>
                <w:sz w:val="23"/>
              </w:rPr>
            </w:pPr>
            <w:r>
              <w:rPr>
                <w:sz w:val="23"/>
              </w:rPr>
              <w:t>Mezun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olan,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yatay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geçişle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giden,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kendi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isteği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kaydı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silinen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disiplin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cezası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alan öğrenciler ile ilgili işlemleri yapmak,</w:t>
            </w:r>
          </w:p>
          <w:p w:rsidR="00AF50D9" w:rsidRDefault="00AF50D9">
            <w:pPr>
              <w:pStyle w:val="TableParagraph"/>
              <w:spacing w:before="47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2"/>
              </w:tabs>
              <w:ind w:left="742" w:hanging="361"/>
              <w:rPr>
                <w:sz w:val="23"/>
              </w:rPr>
            </w:pPr>
            <w:proofErr w:type="spellStart"/>
            <w:r>
              <w:rPr>
                <w:sz w:val="23"/>
              </w:rPr>
              <w:t>Erasmus</w:t>
            </w:r>
            <w:proofErr w:type="spellEnd"/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Farabi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Programı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öğrencileri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işlemleri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AF50D9" w:rsidRDefault="00AF50D9">
            <w:pPr>
              <w:pStyle w:val="TableParagraph"/>
              <w:spacing w:before="78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2"/>
              </w:tabs>
              <w:spacing w:before="1"/>
              <w:ind w:left="742" w:hanging="361"/>
              <w:rPr>
                <w:sz w:val="23"/>
              </w:rPr>
            </w:pPr>
            <w:r>
              <w:rPr>
                <w:sz w:val="23"/>
              </w:rPr>
              <w:t>Öğrenciler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her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türlü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belgeleri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düzenlemek,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gerekli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duyuruları</w:t>
            </w:r>
            <w:r>
              <w:rPr>
                <w:spacing w:val="-2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AF50D9" w:rsidRDefault="00AF50D9">
            <w:pPr>
              <w:pStyle w:val="TableParagraph"/>
              <w:spacing w:before="81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2"/>
              </w:tabs>
              <w:ind w:left="742" w:hanging="361"/>
              <w:rPr>
                <w:sz w:val="23"/>
              </w:rPr>
            </w:pPr>
            <w:r>
              <w:rPr>
                <w:sz w:val="23"/>
              </w:rPr>
              <w:t>Tez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Gelişme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Tez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İzleme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Komitesi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Raporlarının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takibini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AF50D9" w:rsidRDefault="00AF50D9">
            <w:pPr>
              <w:pStyle w:val="TableParagraph"/>
              <w:spacing w:before="78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line="276" w:lineRule="auto"/>
              <w:ind w:right="50"/>
              <w:rPr>
                <w:sz w:val="23"/>
              </w:rPr>
            </w:pPr>
            <w:r>
              <w:rPr>
                <w:sz w:val="23"/>
              </w:rPr>
              <w:t>Dönem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sonu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notlarının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öğrenci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otomasyon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sistemine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girişlerinin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yapılıp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yapılmadığını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kontrol etmek ve sınav sonuçlarını dosyalamak,</w:t>
            </w:r>
          </w:p>
          <w:p w:rsidR="00AF50D9" w:rsidRDefault="00AF50D9">
            <w:pPr>
              <w:pStyle w:val="TableParagraph"/>
              <w:spacing w:before="39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2"/>
              </w:tabs>
              <w:ind w:left="742" w:hanging="361"/>
              <w:rPr>
                <w:sz w:val="23"/>
              </w:rPr>
            </w:pPr>
            <w:r>
              <w:rPr>
                <w:sz w:val="23"/>
              </w:rPr>
              <w:t>Hazırlanan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diplomaları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diploma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defterine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kaydetmek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muhafaza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etmek,</w:t>
            </w:r>
          </w:p>
          <w:p w:rsidR="00AF50D9" w:rsidRDefault="00AF50D9">
            <w:pPr>
              <w:pStyle w:val="TableParagraph"/>
              <w:spacing w:before="81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2"/>
              </w:tabs>
              <w:ind w:left="742" w:hanging="361"/>
              <w:rPr>
                <w:sz w:val="23"/>
              </w:rPr>
            </w:pPr>
            <w:r>
              <w:rPr>
                <w:sz w:val="23"/>
              </w:rPr>
              <w:t>Öğrenci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işleri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içi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kurum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dışı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tüm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yazışmaları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yapmak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etmek,</w:t>
            </w:r>
          </w:p>
          <w:p w:rsidR="00AF50D9" w:rsidRDefault="00AF50D9">
            <w:pPr>
              <w:pStyle w:val="TableParagraph"/>
              <w:spacing w:before="78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0"/>
                <w:numId w:val="1"/>
              </w:numPr>
              <w:tabs>
                <w:tab w:val="left" w:pos="744"/>
              </w:tabs>
              <w:spacing w:line="276" w:lineRule="auto"/>
              <w:ind w:right="814"/>
              <w:rPr>
                <w:sz w:val="23"/>
              </w:rPr>
            </w:pPr>
            <w:r>
              <w:rPr>
                <w:sz w:val="23"/>
              </w:rPr>
              <w:t>Yönetim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Gündemleri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</w:t>
            </w:r>
            <w:r>
              <w:rPr>
                <w:sz w:val="23"/>
              </w:rPr>
              <w:t>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Yönetim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Kurulu Kararlarını yazmak,</w:t>
            </w:r>
          </w:p>
          <w:p w:rsidR="00AF50D9" w:rsidRDefault="00AF50D9">
            <w:pPr>
              <w:pStyle w:val="TableParagraph"/>
              <w:spacing w:before="29"/>
              <w:rPr>
                <w:sz w:val="23"/>
              </w:rPr>
            </w:pPr>
          </w:p>
          <w:p w:rsidR="00AF50D9" w:rsidRDefault="000704DF">
            <w:pPr>
              <w:pStyle w:val="TableParagraph"/>
              <w:numPr>
                <w:ilvl w:val="1"/>
                <w:numId w:val="1"/>
              </w:numPr>
              <w:tabs>
                <w:tab w:val="left" w:pos="743"/>
              </w:tabs>
              <w:ind w:left="743" w:hanging="263"/>
              <w:rPr>
                <w:sz w:val="23"/>
              </w:rPr>
            </w:pPr>
            <w:r>
              <w:rPr>
                <w:sz w:val="23"/>
              </w:rPr>
              <w:t>Müdür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Sekreterinin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vereceği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yapmak.</w:t>
            </w:r>
          </w:p>
        </w:tc>
      </w:tr>
      <w:tr w:rsidR="00AF50D9">
        <w:trPr>
          <w:trHeight w:val="332"/>
        </w:trPr>
        <w:tc>
          <w:tcPr>
            <w:tcW w:w="3126" w:type="dxa"/>
            <w:tcBorders>
              <w:left w:val="double" w:sz="2" w:space="0" w:color="EEEEEE"/>
            </w:tcBorders>
          </w:tcPr>
          <w:p w:rsidR="00AF50D9" w:rsidRDefault="000704DF">
            <w:pPr>
              <w:pStyle w:val="TableParagraph"/>
              <w:spacing w:before="4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364" w:type="dxa"/>
          </w:tcPr>
          <w:p w:rsidR="00AF50D9" w:rsidRDefault="000704DF">
            <w:pPr>
              <w:pStyle w:val="TableParagraph"/>
              <w:spacing w:line="261" w:lineRule="exact"/>
              <w:ind w:left="191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0704DF" w:rsidRDefault="000704DF"/>
    <w:sectPr w:rsidR="000704DF">
      <w:type w:val="continuous"/>
      <w:pgSz w:w="11920" w:h="16850"/>
      <w:pgMar w:top="9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70E89"/>
    <w:multiLevelType w:val="hybridMultilevel"/>
    <w:tmpl w:val="B89CD628"/>
    <w:lvl w:ilvl="0" w:tplc="6374ED82">
      <w:numFmt w:val="bullet"/>
      <w:lvlText w:val=""/>
      <w:lvlJc w:val="left"/>
      <w:pPr>
        <w:ind w:left="7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2BACC6D0">
      <w:numFmt w:val="bullet"/>
      <w:lvlText w:val=""/>
      <w:lvlJc w:val="left"/>
      <w:pPr>
        <w:ind w:left="744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B854E400">
      <w:numFmt w:val="bullet"/>
      <w:lvlText w:val="•"/>
      <w:lvlJc w:val="left"/>
      <w:pPr>
        <w:ind w:left="2487" w:hanging="264"/>
      </w:pPr>
      <w:rPr>
        <w:rFonts w:hint="default"/>
        <w:lang w:val="tr-TR" w:eastAsia="en-US" w:bidi="ar-SA"/>
      </w:rPr>
    </w:lvl>
    <w:lvl w:ilvl="3" w:tplc="62887484">
      <w:numFmt w:val="bullet"/>
      <w:lvlText w:val="•"/>
      <w:lvlJc w:val="left"/>
      <w:pPr>
        <w:ind w:left="3360" w:hanging="264"/>
      </w:pPr>
      <w:rPr>
        <w:rFonts w:hint="default"/>
        <w:lang w:val="tr-TR" w:eastAsia="en-US" w:bidi="ar-SA"/>
      </w:rPr>
    </w:lvl>
    <w:lvl w:ilvl="4" w:tplc="907A2F9E">
      <w:numFmt w:val="bullet"/>
      <w:lvlText w:val="•"/>
      <w:lvlJc w:val="left"/>
      <w:pPr>
        <w:ind w:left="4234" w:hanging="264"/>
      </w:pPr>
      <w:rPr>
        <w:rFonts w:hint="default"/>
        <w:lang w:val="tr-TR" w:eastAsia="en-US" w:bidi="ar-SA"/>
      </w:rPr>
    </w:lvl>
    <w:lvl w:ilvl="5" w:tplc="3672282A">
      <w:numFmt w:val="bullet"/>
      <w:lvlText w:val="•"/>
      <w:lvlJc w:val="left"/>
      <w:pPr>
        <w:ind w:left="5107" w:hanging="264"/>
      </w:pPr>
      <w:rPr>
        <w:rFonts w:hint="default"/>
        <w:lang w:val="tr-TR" w:eastAsia="en-US" w:bidi="ar-SA"/>
      </w:rPr>
    </w:lvl>
    <w:lvl w:ilvl="6" w:tplc="20E68D16">
      <w:numFmt w:val="bullet"/>
      <w:lvlText w:val="•"/>
      <w:lvlJc w:val="left"/>
      <w:pPr>
        <w:ind w:left="5981" w:hanging="264"/>
      </w:pPr>
      <w:rPr>
        <w:rFonts w:hint="default"/>
        <w:lang w:val="tr-TR" w:eastAsia="en-US" w:bidi="ar-SA"/>
      </w:rPr>
    </w:lvl>
    <w:lvl w:ilvl="7" w:tplc="FF22890E">
      <w:numFmt w:val="bullet"/>
      <w:lvlText w:val="•"/>
      <w:lvlJc w:val="left"/>
      <w:pPr>
        <w:ind w:left="6854" w:hanging="264"/>
      </w:pPr>
      <w:rPr>
        <w:rFonts w:hint="default"/>
        <w:lang w:val="tr-TR" w:eastAsia="en-US" w:bidi="ar-SA"/>
      </w:rPr>
    </w:lvl>
    <w:lvl w:ilvl="8" w:tplc="7E60C192">
      <w:numFmt w:val="bullet"/>
      <w:lvlText w:val="•"/>
      <w:lvlJc w:val="left"/>
      <w:pPr>
        <w:ind w:left="7728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46D1746F"/>
    <w:multiLevelType w:val="hybridMultilevel"/>
    <w:tmpl w:val="314EE850"/>
    <w:lvl w:ilvl="0" w:tplc="0A28F23C">
      <w:numFmt w:val="bullet"/>
      <w:lvlText w:val=""/>
      <w:lvlJc w:val="left"/>
      <w:pPr>
        <w:ind w:left="739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7BE43AA8">
      <w:numFmt w:val="bullet"/>
      <w:lvlText w:val="•"/>
      <w:lvlJc w:val="left"/>
      <w:pPr>
        <w:ind w:left="1613" w:hanging="356"/>
      </w:pPr>
      <w:rPr>
        <w:rFonts w:hint="default"/>
        <w:lang w:val="tr-TR" w:eastAsia="en-US" w:bidi="ar-SA"/>
      </w:rPr>
    </w:lvl>
    <w:lvl w:ilvl="2" w:tplc="B49EA4CE">
      <w:numFmt w:val="bullet"/>
      <w:lvlText w:val="•"/>
      <w:lvlJc w:val="left"/>
      <w:pPr>
        <w:ind w:left="2486" w:hanging="356"/>
      </w:pPr>
      <w:rPr>
        <w:rFonts w:hint="default"/>
        <w:lang w:val="tr-TR" w:eastAsia="en-US" w:bidi="ar-SA"/>
      </w:rPr>
    </w:lvl>
    <w:lvl w:ilvl="3" w:tplc="0512CB24">
      <w:numFmt w:val="bullet"/>
      <w:lvlText w:val="•"/>
      <w:lvlJc w:val="left"/>
      <w:pPr>
        <w:ind w:left="3360" w:hanging="356"/>
      </w:pPr>
      <w:rPr>
        <w:rFonts w:hint="default"/>
        <w:lang w:val="tr-TR" w:eastAsia="en-US" w:bidi="ar-SA"/>
      </w:rPr>
    </w:lvl>
    <w:lvl w:ilvl="4" w:tplc="C7FC8AB4">
      <w:numFmt w:val="bullet"/>
      <w:lvlText w:val="•"/>
      <w:lvlJc w:val="left"/>
      <w:pPr>
        <w:ind w:left="4233" w:hanging="356"/>
      </w:pPr>
      <w:rPr>
        <w:rFonts w:hint="default"/>
        <w:lang w:val="tr-TR" w:eastAsia="en-US" w:bidi="ar-SA"/>
      </w:rPr>
    </w:lvl>
    <w:lvl w:ilvl="5" w:tplc="9594F492">
      <w:numFmt w:val="bullet"/>
      <w:lvlText w:val="•"/>
      <w:lvlJc w:val="left"/>
      <w:pPr>
        <w:ind w:left="5107" w:hanging="356"/>
      </w:pPr>
      <w:rPr>
        <w:rFonts w:hint="default"/>
        <w:lang w:val="tr-TR" w:eastAsia="en-US" w:bidi="ar-SA"/>
      </w:rPr>
    </w:lvl>
    <w:lvl w:ilvl="6" w:tplc="321CCE26">
      <w:numFmt w:val="bullet"/>
      <w:lvlText w:val="•"/>
      <w:lvlJc w:val="left"/>
      <w:pPr>
        <w:ind w:left="5980" w:hanging="356"/>
      </w:pPr>
      <w:rPr>
        <w:rFonts w:hint="default"/>
        <w:lang w:val="tr-TR" w:eastAsia="en-US" w:bidi="ar-SA"/>
      </w:rPr>
    </w:lvl>
    <w:lvl w:ilvl="7" w:tplc="0F300160">
      <w:numFmt w:val="bullet"/>
      <w:lvlText w:val="•"/>
      <w:lvlJc w:val="left"/>
      <w:pPr>
        <w:ind w:left="6853" w:hanging="356"/>
      </w:pPr>
      <w:rPr>
        <w:rFonts w:hint="default"/>
        <w:lang w:val="tr-TR" w:eastAsia="en-US" w:bidi="ar-SA"/>
      </w:rPr>
    </w:lvl>
    <w:lvl w:ilvl="8" w:tplc="37DEAC0C">
      <w:numFmt w:val="bullet"/>
      <w:lvlText w:val="•"/>
      <w:lvlJc w:val="left"/>
      <w:pPr>
        <w:ind w:left="7727" w:hanging="356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D9"/>
    <w:rsid w:val="000704DF"/>
    <w:rsid w:val="00AF50D9"/>
    <w:rsid w:val="00DB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C98E"/>
  <w15:docId w15:val="{B4D38B0F-9E86-4987-965D-1549D177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ProOne 440</cp:lastModifiedBy>
  <cp:revision>2</cp:revision>
  <dcterms:created xsi:type="dcterms:W3CDTF">2025-11-29T13:56:00Z</dcterms:created>
  <dcterms:modified xsi:type="dcterms:W3CDTF">2025-11-29T13:56:00Z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