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410"/>
        <w:gridCol w:w="4330"/>
        <w:gridCol w:w="2889"/>
      </w:tblGrid>
      <w:tr w:rsidR="00E31930" w:rsidRPr="001A52ED" w:rsidTr="00604893">
        <w:trPr>
          <w:trHeight w:val="3103"/>
        </w:trPr>
        <w:tc>
          <w:tcPr>
            <w:tcW w:w="2421" w:type="dxa"/>
          </w:tcPr>
          <w:p w:rsidR="00E31930" w:rsidRPr="001A52ED" w:rsidRDefault="00E31930" w:rsidP="00604893">
            <w:pPr>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1405255" cy="1405255"/>
                  <wp:effectExtent l="0" t="0" r="4445" b="4445"/>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5255" cy="1405255"/>
                          </a:xfrm>
                          <a:prstGeom prst="rect">
                            <a:avLst/>
                          </a:prstGeom>
                          <a:noFill/>
                          <a:ln>
                            <a:noFill/>
                          </a:ln>
                        </pic:spPr>
                      </pic:pic>
                    </a:graphicData>
                  </a:graphic>
                </wp:inline>
              </w:drawing>
            </w:r>
          </w:p>
        </w:tc>
        <w:tc>
          <w:tcPr>
            <w:tcW w:w="4748" w:type="dxa"/>
            <w:gridSpan w:val="2"/>
          </w:tcPr>
          <w:p w:rsidR="00E31930" w:rsidRPr="003A59F4" w:rsidRDefault="00E31930" w:rsidP="00604893">
            <w:pPr>
              <w:spacing w:line="240" w:lineRule="auto"/>
              <w:jc w:val="center"/>
              <w:rPr>
                <w:rFonts w:ascii="Times New Roman" w:hAnsi="Times New Roman"/>
                <w:b/>
                <w:sz w:val="24"/>
                <w:szCs w:val="24"/>
              </w:rPr>
            </w:pPr>
          </w:p>
          <w:p w:rsidR="00E31930" w:rsidRPr="003A59F4" w:rsidRDefault="00E31930" w:rsidP="00604893">
            <w:pPr>
              <w:spacing w:line="240" w:lineRule="auto"/>
              <w:jc w:val="center"/>
              <w:rPr>
                <w:rFonts w:ascii="Times New Roman" w:hAnsi="Times New Roman"/>
                <w:b/>
                <w:sz w:val="24"/>
                <w:szCs w:val="24"/>
              </w:rPr>
            </w:pPr>
            <w:r w:rsidRPr="003A59F4">
              <w:rPr>
                <w:rFonts w:ascii="Times New Roman" w:hAnsi="Times New Roman"/>
                <w:b/>
                <w:sz w:val="24"/>
                <w:szCs w:val="24"/>
              </w:rPr>
              <w:t>T.C.</w:t>
            </w:r>
          </w:p>
          <w:p w:rsidR="00E31930" w:rsidRPr="003A59F4" w:rsidRDefault="00E31930" w:rsidP="00604893">
            <w:pPr>
              <w:spacing w:line="240" w:lineRule="auto"/>
              <w:jc w:val="center"/>
              <w:rPr>
                <w:rFonts w:ascii="Times New Roman" w:hAnsi="Times New Roman"/>
                <w:b/>
                <w:sz w:val="24"/>
                <w:szCs w:val="24"/>
              </w:rPr>
            </w:pPr>
            <w:r w:rsidRPr="003A59F4">
              <w:rPr>
                <w:rFonts w:ascii="Times New Roman" w:hAnsi="Times New Roman"/>
                <w:b/>
                <w:sz w:val="24"/>
                <w:szCs w:val="24"/>
              </w:rPr>
              <w:t>DUMLUPINAR ÜNİVERSİTESİ</w:t>
            </w:r>
          </w:p>
          <w:p w:rsidR="00E31930" w:rsidRPr="003A59F4" w:rsidRDefault="00E31930" w:rsidP="00604893">
            <w:pPr>
              <w:spacing w:line="240" w:lineRule="auto"/>
              <w:jc w:val="center"/>
              <w:rPr>
                <w:rFonts w:ascii="Times New Roman" w:hAnsi="Times New Roman"/>
                <w:b/>
                <w:sz w:val="24"/>
                <w:szCs w:val="24"/>
              </w:rPr>
            </w:pPr>
            <w:r w:rsidRPr="003A59F4">
              <w:rPr>
                <w:rFonts w:ascii="Times New Roman" w:hAnsi="Times New Roman"/>
                <w:b/>
                <w:sz w:val="24"/>
                <w:szCs w:val="24"/>
              </w:rPr>
              <w:t>BİLGİ İŞLEM</w:t>
            </w:r>
            <w:r>
              <w:rPr>
                <w:rFonts w:ascii="Times New Roman" w:hAnsi="Times New Roman"/>
                <w:b/>
                <w:sz w:val="24"/>
                <w:szCs w:val="24"/>
              </w:rPr>
              <w:t xml:space="preserve"> </w:t>
            </w:r>
            <w:r w:rsidRPr="003A59F4">
              <w:rPr>
                <w:rFonts w:ascii="Times New Roman" w:hAnsi="Times New Roman"/>
                <w:b/>
                <w:sz w:val="24"/>
                <w:szCs w:val="24"/>
              </w:rPr>
              <w:t xml:space="preserve">DAİRE BAŞKANLIĞI </w:t>
            </w:r>
          </w:p>
          <w:p w:rsidR="00E31930" w:rsidRPr="000D56C1" w:rsidRDefault="00E31930" w:rsidP="00604893">
            <w:pPr>
              <w:spacing w:line="240" w:lineRule="auto"/>
              <w:jc w:val="center"/>
              <w:rPr>
                <w:rFonts w:ascii="Times New Roman" w:hAnsi="Times New Roman"/>
                <w:b/>
                <w:szCs w:val="24"/>
              </w:rPr>
            </w:pPr>
            <w:r w:rsidRPr="000D56C1">
              <w:rPr>
                <w:rFonts w:ascii="Times New Roman" w:hAnsi="Times New Roman"/>
                <w:b/>
                <w:szCs w:val="24"/>
              </w:rPr>
              <w:br/>
            </w:r>
            <w:r w:rsidRPr="003A59F4">
              <w:rPr>
                <w:rFonts w:ascii="Times New Roman" w:hAnsi="Times New Roman"/>
                <w:b/>
                <w:sz w:val="28"/>
                <w:szCs w:val="24"/>
              </w:rPr>
              <w:t>GÖREV TANIMI FORMU</w:t>
            </w:r>
          </w:p>
        </w:tc>
        <w:tc>
          <w:tcPr>
            <w:tcW w:w="2896" w:type="dxa"/>
          </w:tcPr>
          <w:p w:rsidR="00E31930" w:rsidRPr="001A52ED" w:rsidRDefault="00E31930" w:rsidP="00604893">
            <w:pPr>
              <w:spacing w:before="240" w:after="100" w:afterAutospacing="1"/>
              <w:jc w:val="center"/>
              <w:rPr>
                <w:rFonts w:ascii="Times New Roman" w:hAnsi="Times New Roman"/>
                <w:sz w:val="24"/>
                <w:szCs w:val="24"/>
              </w:rPr>
            </w:pP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360"/>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Birim:</w:t>
            </w:r>
          </w:p>
        </w:tc>
        <w:tc>
          <w:tcPr>
            <w:tcW w:w="7233"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sz w:val="24"/>
                <w:szCs w:val="24"/>
                <w:lang w:eastAsia="tr-TR"/>
              </w:rPr>
              <w:t>Bilgi İşlem Daire Başkanlığı</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360"/>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Görev Adı:</w:t>
            </w:r>
          </w:p>
        </w:tc>
        <w:tc>
          <w:tcPr>
            <w:tcW w:w="7233" w:type="dxa"/>
            <w:gridSpan w:val="2"/>
          </w:tcPr>
          <w:p w:rsidR="00E31930" w:rsidRPr="00A80A49" w:rsidRDefault="00E31930" w:rsidP="00604893">
            <w:pPr>
              <w:spacing w:after="0" w:line="240" w:lineRule="auto"/>
              <w:rPr>
                <w:rFonts w:ascii="Times New Roman" w:hAnsi="Times New Roman"/>
                <w:color w:val="FF0000"/>
                <w:sz w:val="24"/>
                <w:szCs w:val="24"/>
                <w:lang w:eastAsia="tr-TR"/>
              </w:rPr>
            </w:pPr>
            <w:r>
              <w:rPr>
                <w:rFonts w:ascii="Times New Roman" w:hAnsi="Times New Roman"/>
                <w:color w:val="FF0000"/>
                <w:sz w:val="24"/>
                <w:szCs w:val="24"/>
                <w:lang w:eastAsia="tr-TR"/>
              </w:rPr>
              <w:t>Daire Başkanı V. (Şeref YUVKA)</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360"/>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Amiri</w:t>
            </w:r>
            <w:r>
              <w:rPr>
                <w:rFonts w:ascii="Times New Roman" w:hAnsi="Times New Roman"/>
                <w:b/>
                <w:bCs/>
                <w:sz w:val="24"/>
                <w:szCs w:val="24"/>
                <w:lang w:eastAsia="tr-TR"/>
              </w:rPr>
              <w:t>:</w:t>
            </w:r>
            <w:r w:rsidRPr="001A52ED">
              <w:rPr>
                <w:rFonts w:ascii="Times New Roman" w:hAnsi="Times New Roman"/>
                <w:b/>
                <w:bCs/>
                <w:sz w:val="24"/>
                <w:szCs w:val="24"/>
                <w:lang w:eastAsia="tr-TR"/>
              </w:rPr>
              <w:t xml:space="preserve"> </w:t>
            </w:r>
          </w:p>
        </w:tc>
        <w:tc>
          <w:tcPr>
            <w:tcW w:w="7233" w:type="dxa"/>
            <w:gridSpan w:val="2"/>
          </w:tcPr>
          <w:p w:rsidR="00E31930" w:rsidRPr="001A52ED" w:rsidRDefault="00E31930" w:rsidP="00604893">
            <w:pPr>
              <w:spacing w:after="0" w:line="240" w:lineRule="auto"/>
              <w:rPr>
                <w:rFonts w:ascii="Times New Roman" w:hAnsi="Times New Roman"/>
                <w:sz w:val="24"/>
                <w:szCs w:val="24"/>
                <w:lang w:eastAsia="tr-TR"/>
              </w:rPr>
            </w:pPr>
            <w:r>
              <w:rPr>
                <w:rFonts w:ascii="Times New Roman" w:hAnsi="Times New Roman"/>
                <w:sz w:val="24"/>
                <w:szCs w:val="24"/>
                <w:lang w:eastAsia="tr-TR"/>
              </w:rPr>
              <w:t>GENEL SEKRETERLİK</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360"/>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Sorumluluk Alanı:</w:t>
            </w:r>
          </w:p>
        </w:tc>
        <w:tc>
          <w:tcPr>
            <w:tcW w:w="7233" w:type="dxa"/>
            <w:gridSpan w:val="2"/>
          </w:tcPr>
          <w:p w:rsidR="00E31930" w:rsidRPr="00794F5B" w:rsidRDefault="00E31930" w:rsidP="00604893">
            <w:pPr>
              <w:tabs>
                <w:tab w:val="left" w:pos="426"/>
              </w:tabs>
              <w:spacing w:after="0" w:line="360" w:lineRule="auto"/>
              <w:jc w:val="both"/>
              <w:rPr>
                <w:rFonts w:ascii="Times New Roman" w:hAnsi="Times New Roman"/>
                <w:sz w:val="24"/>
                <w:szCs w:val="24"/>
                <w:lang w:eastAsia="tr-TR"/>
              </w:rPr>
            </w:pPr>
            <w:r>
              <w:rPr>
                <w:rFonts w:ascii="Times New Roman" w:hAnsi="Times New Roman"/>
                <w:sz w:val="24"/>
                <w:szCs w:val="24"/>
                <w:lang w:eastAsia="tr-TR"/>
              </w:rPr>
              <w:t>BİLGİ İŞLEM DAİRE BAŞKANLIĞI</w:t>
            </w:r>
            <w:bookmarkStart w:id="0" w:name="_GoBack"/>
            <w:bookmarkEnd w:id="0"/>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375"/>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Görev Devri:</w:t>
            </w:r>
          </w:p>
        </w:tc>
        <w:tc>
          <w:tcPr>
            <w:tcW w:w="7233" w:type="dxa"/>
            <w:gridSpan w:val="2"/>
          </w:tcPr>
          <w:p w:rsidR="00E31930" w:rsidRPr="001A52ED" w:rsidRDefault="00E31930" w:rsidP="00604893">
            <w:pPr>
              <w:jc w:val="both"/>
              <w:rPr>
                <w:rFonts w:ascii="Times New Roman" w:hAnsi="Times New Roman"/>
                <w:sz w:val="24"/>
                <w:szCs w:val="24"/>
              </w:rPr>
            </w:pPr>
            <w:r w:rsidRPr="001A52ED">
              <w:rPr>
                <w:rFonts w:ascii="Times New Roman" w:hAnsi="Times New Roman"/>
                <w:sz w:val="24"/>
                <w:szCs w:val="24"/>
              </w:rPr>
              <w:t>Görevinde bulunmadığı durumlarda kendisine verilmiş olan</w:t>
            </w:r>
            <w:r>
              <w:rPr>
                <w:rFonts w:ascii="Times New Roman" w:hAnsi="Times New Roman"/>
                <w:sz w:val="24"/>
                <w:szCs w:val="24"/>
              </w:rPr>
              <w:t xml:space="preserve"> gerçekleştirme görevlisi görevini</w:t>
            </w:r>
            <w:r w:rsidRPr="001A52ED">
              <w:rPr>
                <w:rFonts w:ascii="Times New Roman" w:hAnsi="Times New Roman"/>
                <w:sz w:val="24"/>
                <w:szCs w:val="24"/>
              </w:rPr>
              <w:t xml:space="preserve"> </w:t>
            </w:r>
            <w:r>
              <w:rPr>
                <w:rFonts w:ascii="Times New Roman" w:hAnsi="Times New Roman"/>
                <w:b/>
                <w:sz w:val="24"/>
                <w:szCs w:val="24"/>
              </w:rPr>
              <w:t>Fikret KABAK</w:t>
            </w:r>
            <w:r>
              <w:rPr>
                <w:rFonts w:ascii="Times New Roman" w:hAnsi="Times New Roman"/>
                <w:sz w:val="24"/>
                <w:szCs w:val="24"/>
              </w:rPr>
              <w:t xml:space="preserve"> yerine getir</w:t>
            </w:r>
            <w:r w:rsidRPr="001A52ED">
              <w:rPr>
                <w:rFonts w:ascii="Times New Roman" w:hAnsi="Times New Roman"/>
                <w:sz w:val="24"/>
                <w:szCs w:val="24"/>
              </w:rPr>
              <w:t>ecektir.</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678"/>
        </w:trPr>
        <w:tc>
          <w:tcPr>
            <w:tcW w:w="2832" w:type="dxa"/>
            <w:gridSpan w:val="2"/>
          </w:tcPr>
          <w:p w:rsidR="00E31930" w:rsidRPr="001A52ED" w:rsidRDefault="00E31930" w:rsidP="00604893">
            <w:pPr>
              <w:spacing w:after="0" w:line="240" w:lineRule="auto"/>
              <w:rPr>
                <w:rFonts w:ascii="Times New Roman" w:hAnsi="Times New Roman"/>
                <w:b/>
                <w:bCs/>
                <w:sz w:val="24"/>
                <w:szCs w:val="24"/>
                <w:lang w:eastAsia="tr-TR"/>
              </w:rPr>
            </w:pPr>
            <w:r>
              <w:rPr>
                <w:rFonts w:ascii="Times New Roman" w:hAnsi="Times New Roman"/>
                <w:b/>
                <w:bCs/>
                <w:sz w:val="24"/>
                <w:szCs w:val="24"/>
                <w:lang w:eastAsia="tr-TR"/>
              </w:rPr>
              <w:t>Görevler</w:t>
            </w:r>
            <w:r w:rsidRPr="001A52ED">
              <w:rPr>
                <w:rFonts w:ascii="Times New Roman" w:hAnsi="Times New Roman"/>
                <w:b/>
                <w:bCs/>
                <w:sz w:val="24"/>
                <w:szCs w:val="24"/>
                <w:lang w:eastAsia="tr-TR"/>
              </w:rPr>
              <w:t xml:space="preserve"> ve Sorumlu</w:t>
            </w:r>
            <w:r>
              <w:rPr>
                <w:rFonts w:ascii="Times New Roman" w:hAnsi="Times New Roman"/>
                <w:b/>
                <w:bCs/>
                <w:sz w:val="24"/>
                <w:szCs w:val="24"/>
                <w:lang w:eastAsia="tr-TR"/>
              </w:rPr>
              <w:t>lu</w:t>
            </w:r>
            <w:r w:rsidRPr="001A52ED">
              <w:rPr>
                <w:rFonts w:ascii="Times New Roman" w:hAnsi="Times New Roman"/>
                <w:b/>
                <w:bCs/>
                <w:sz w:val="24"/>
                <w:szCs w:val="24"/>
                <w:lang w:eastAsia="tr-TR"/>
              </w:rPr>
              <w:t>klar</w:t>
            </w: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b/>
                <w:bCs/>
                <w:sz w:val="24"/>
                <w:szCs w:val="24"/>
                <w:lang w:eastAsia="tr-TR"/>
              </w:rPr>
            </w:pPr>
          </w:p>
          <w:p w:rsidR="00E31930" w:rsidRPr="001A52ED" w:rsidRDefault="00E31930" w:rsidP="00604893">
            <w:pPr>
              <w:spacing w:after="0" w:line="240" w:lineRule="auto"/>
              <w:rPr>
                <w:rFonts w:ascii="Times New Roman" w:hAnsi="Times New Roman"/>
                <w:sz w:val="24"/>
                <w:szCs w:val="24"/>
                <w:lang w:eastAsia="tr-TR"/>
              </w:rPr>
            </w:pPr>
          </w:p>
        </w:tc>
        <w:tc>
          <w:tcPr>
            <w:tcW w:w="7233" w:type="dxa"/>
            <w:gridSpan w:val="2"/>
          </w:tcPr>
          <w:p w:rsidR="00E31930"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Bilgi işlem daire başkanlığı bünyesinde bulunan tüm iş tanımlarını ve çalışma gruplarının düzenli çalışması için personel ayrımı yapmaksızın güvenli ve huzurlu iş ortamı oluşturmak, yapılan işlerin kontrolü ve denetlenmesini sağlamak, üst birimlerle diyaloğa geçerek, bilgi işlem daire başkanlığının ihtiyaçlarını, sorunlarını bildirmek, yürütülen projeler hakkında rapor sunmak.</w:t>
            </w:r>
          </w:p>
          <w:p w:rsidR="00E31930" w:rsidRPr="009B0E37"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Bilgi işleminin görev ve sorumluluk alanına giren konuları amirlerden gelen talimatlar doğrultusunda sorumlu olduğu bütün yasal mevzuata ve kurum mevzuatına uygun olarak yerine getirilmesini sağlamak, görev alanına giren bütün konularda personeli ile ilgili olarak gerekli görevlendirmeleri yapmak, faaliyetleri denetlemek, varsa aksaklıkları gidermek.</w:t>
            </w:r>
          </w:p>
          <w:p w:rsidR="00E31930" w:rsidRPr="00ED5DAA"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Bilgi işlem projeleri ile ilgili olarak Üniversite birimleri arasında koordinasyon sağlamak ve işbirliği içerisinde çalışmak.</w:t>
            </w:r>
          </w:p>
          <w:p w:rsidR="00E31930" w:rsidRPr="00ED5DAA"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Bilişim teknolojisindeki gelişmelere uygun olarak elektronik bilgi, belge ve iş akışı düzenini kurmak, buna yönelik projeleri geliştirmek, uygulamak ve uygulatmak.</w:t>
            </w:r>
          </w:p>
          <w:p w:rsidR="00E31930" w:rsidRPr="00ED5DAA"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Gelişen bilişim teknolojisini izlemek ve bunların Üniversite bünyesine aktarımı konusunda görüş ve önerilerde bulunmak.</w:t>
            </w:r>
          </w:p>
          <w:p w:rsidR="00E31930" w:rsidRPr="00ED5DAA"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Üniversitenin tüm birimlerinde iş sürekliliğinin temini için internet telekomünikasyon ve bilgi sistemleri altyapısının sürekliliği ve güncel teknolojilere uygun hale getirmek.</w:t>
            </w:r>
          </w:p>
          <w:p w:rsidR="00E31930" w:rsidRPr="00C33845"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Üniversitenin veri ve bilgilerinin güvenliğini sağlamak, veri güvenliği politikaları oluşturmak, geliştirmek ve üniversite çalışanları ve öğrencilere bunları duyurmak.</w:t>
            </w:r>
          </w:p>
          <w:p w:rsidR="00E31930" w:rsidRPr="008C7B6E"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Veri güvenliği politikalarının uygulanmasını izlemek, ölçmek ve</w:t>
            </w:r>
            <w:r>
              <w:rPr>
                <w:rFonts w:ascii="Times New Roman" w:hAnsi="Times New Roman"/>
                <w:sz w:val="24"/>
                <w:szCs w:val="24"/>
              </w:rPr>
              <w:t xml:space="preserve"> </w:t>
            </w:r>
            <w:r w:rsidRPr="008C7B6E">
              <w:rPr>
                <w:rFonts w:ascii="Times New Roman" w:hAnsi="Times New Roman"/>
                <w:sz w:val="24"/>
              </w:rPr>
              <w:t>denetlemek.</w:t>
            </w:r>
          </w:p>
          <w:p w:rsidR="00E31930" w:rsidRPr="00986D52"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rPr>
              <w:t>Üniversitedeki bilgi işlem sistemini işletmek, eğitim, öğretim ve araştırmalara destek olmak.</w:t>
            </w:r>
          </w:p>
          <w:p w:rsidR="00E31930"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Birimlerden gelen talep ve kullanıcılarla ilgili sorunlara destek vermek.</w:t>
            </w:r>
          </w:p>
          <w:p w:rsidR="00E31930" w:rsidRPr="0035628D"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Bilgi İşlem Daire Başkanlığının bütçe planlamasını yapar. </w:t>
            </w:r>
            <w:r w:rsidRPr="0035628D">
              <w:rPr>
                <w:rFonts w:ascii="Times New Roman" w:hAnsi="Times New Roman"/>
                <w:sz w:val="24"/>
                <w:szCs w:val="24"/>
              </w:rPr>
              <w:t>Bütçe görüşmelerine katılır.</w:t>
            </w:r>
          </w:p>
          <w:p w:rsidR="00E31930" w:rsidRPr="00986D52"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Bilgi İşlem Daire Başkanlığının tüm yazışmalarının kontrolünü yapar ve işletir.</w:t>
            </w:r>
          </w:p>
          <w:p w:rsidR="00E31930"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Üst yönetim toplantılara katılmak.</w:t>
            </w:r>
          </w:p>
          <w:p w:rsidR="00E31930" w:rsidRPr="003C146D" w:rsidRDefault="00E31930" w:rsidP="00E31930">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Üst amirlerin vereceği diğer görevleri yapmaktır.</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632"/>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lastRenderedPageBreak/>
              <w:t>Yetkileri:</w:t>
            </w:r>
          </w:p>
        </w:tc>
        <w:tc>
          <w:tcPr>
            <w:tcW w:w="7233" w:type="dxa"/>
            <w:gridSpan w:val="2"/>
          </w:tcPr>
          <w:p w:rsidR="00E31930" w:rsidRPr="00B57723" w:rsidRDefault="00E31930" w:rsidP="00604893">
            <w:pPr>
              <w:jc w:val="both"/>
              <w:rPr>
                <w:rFonts w:ascii="Times New Roman" w:hAnsi="Times New Roman"/>
                <w:sz w:val="24"/>
                <w:szCs w:val="24"/>
              </w:rPr>
            </w:pPr>
            <w:r w:rsidRPr="000615AD">
              <w:rPr>
                <w:rFonts w:ascii="Times New Roman" w:hAnsi="Times New Roman"/>
                <w:sz w:val="24"/>
                <w:szCs w:val="24"/>
              </w:rPr>
              <w:t>Uygulamada karşılaşılan güçlük ve tıkanıklıkları gidermek, gereken tedbirleri almak ve uygulamak</w:t>
            </w:r>
            <w:r>
              <w:rPr>
                <w:rFonts w:ascii="Times New Roman" w:hAnsi="Times New Roman"/>
                <w:sz w:val="24"/>
                <w:szCs w:val="24"/>
              </w:rPr>
              <w:t>.</w:t>
            </w:r>
          </w:p>
        </w:tc>
      </w:tr>
      <w:tr w:rsidR="00E31930" w:rsidRPr="001A52ED" w:rsidTr="00604893">
        <w:tblPrEx>
          <w:tblCellMar>
            <w:top w:w="15" w:type="dxa"/>
            <w:left w:w="15" w:type="dxa"/>
            <w:bottom w:w="15" w:type="dxa"/>
            <w:right w:w="15" w:type="dxa"/>
          </w:tblCellMar>
          <w:tblLook w:val="00A0" w:firstRow="1" w:lastRow="0" w:firstColumn="1" w:lastColumn="0" w:noHBand="0" w:noVBand="0"/>
        </w:tblPrEx>
        <w:trPr>
          <w:trHeight w:val="1063"/>
        </w:trPr>
        <w:tc>
          <w:tcPr>
            <w:tcW w:w="2832" w:type="dxa"/>
            <w:gridSpan w:val="2"/>
          </w:tcPr>
          <w:p w:rsidR="00E31930" w:rsidRPr="001A52ED" w:rsidRDefault="00E31930" w:rsidP="00604893">
            <w:pPr>
              <w:spacing w:after="0" w:line="240" w:lineRule="auto"/>
              <w:rPr>
                <w:rFonts w:ascii="Times New Roman" w:hAnsi="Times New Roman"/>
                <w:sz w:val="24"/>
                <w:szCs w:val="24"/>
                <w:lang w:eastAsia="tr-TR"/>
              </w:rPr>
            </w:pPr>
            <w:r w:rsidRPr="001A52ED">
              <w:rPr>
                <w:rFonts w:ascii="Times New Roman" w:hAnsi="Times New Roman"/>
                <w:b/>
                <w:bCs/>
                <w:sz w:val="24"/>
                <w:szCs w:val="24"/>
                <w:lang w:eastAsia="tr-TR"/>
              </w:rPr>
              <w:t>Sorumluluklar:</w:t>
            </w:r>
          </w:p>
        </w:tc>
        <w:tc>
          <w:tcPr>
            <w:tcW w:w="7233" w:type="dxa"/>
            <w:gridSpan w:val="2"/>
          </w:tcPr>
          <w:p w:rsidR="00E31930" w:rsidRDefault="00E31930" w:rsidP="00604893">
            <w:pPr>
              <w:pStyle w:val="ListParagraph"/>
              <w:spacing w:after="0" w:line="240" w:lineRule="auto"/>
              <w:ind w:left="0"/>
              <w:jc w:val="both"/>
              <w:rPr>
                <w:rFonts w:ascii="Times New Roman" w:hAnsi="Times New Roman"/>
                <w:sz w:val="24"/>
                <w:szCs w:val="24"/>
              </w:rPr>
            </w:pPr>
            <w:r w:rsidRPr="009004A8">
              <w:rPr>
                <w:rFonts w:ascii="Times New Roman" w:hAnsi="Times New Roman"/>
                <w:sz w:val="24"/>
                <w:szCs w:val="24"/>
              </w:rPr>
              <w:t>Başbakanlık Makamının 2004/29 sayılı Genelgesi ile yürürlüğe konulan “Resmî Yazışmalarda Uygulanacak Esas ve Usuller</w:t>
            </w:r>
            <w:r>
              <w:rPr>
                <w:rFonts w:ascii="Times New Roman" w:hAnsi="Times New Roman"/>
                <w:sz w:val="24"/>
                <w:szCs w:val="24"/>
              </w:rPr>
              <w:t>.</w:t>
            </w:r>
          </w:p>
          <w:p w:rsidR="00E31930" w:rsidRDefault="00E31930" w:rsidP="00E31930">
            <w:pPr>
              <w:pStyle w:val="AralkYok"/>
              <w:numPr>
                <w:ilvl w:val="0"/>
                <w:numId w:val="2"/>
              </w:numPr>
              <w:rPr>
                <w:rFonts w:ascii="Times New Roman" w:hAnsi="Times New Roman"/>
                <w:sz w:val="24"/>
                <w:lang w:eastAsia="tr-TR"/>
              </w:rPr>
            </w:pPr>
            <w:r>
              <w:rPr>
                <w:rFonts w:ascii="Times New Roman" w:hAnsi="Times New Roman"/>
                <w:sz w:val="24"/>
                <w:lang w:eastAsia="tr-TR"/>
              </w:rPr>
              <w:t>5018 sayılı Kamu Mali Yönetimi ve Kontrol Kanunu</w:t>
            </w:r>
          </w:p>
          <w:p w:rsidR="00E31930" w:rsidRDefault="00E31930" w:rsidP="00E31930">
            <w:pPr>
              <w:pStyle w:val="AralkYok"/>
              <w:numPr>
                <w:ilvl w:val="0"/>
                <w:numId w:val="2"/>
              </w:numPr>
              <w:rPr>
                <w:rFonts w:ascii="Times New Roman" w:hAnsi="Times New Roman"/>
                <w:sz w:val="24"/>
                <w:lang w:eastAsia="tr-TR"/>
              </w:rPr>
            </w:pPr>
            <w:r>
              <w:rPr>
                <w:rFonts w:ascii="Times New Roman" w:hAnsi="Times New Roman"/>
                <w:sz w:val="24"/>
                <w:lang w:eastAsia="tr-TR"/>
              </w:rPr>
              <w:t>2547 Sayılı Yükseköğretim Kanunu</w:t>
            </w:r>
          </w:p>
          <w:p w:rsidR="00E31930" w:rsidRDefault="00E31930" w:rsidP="00E31930">
            <w:pPr>
              <w:pStyle w:val="AralkYok"/>
              <w:numPr>
                <w:ilvl w:val="0"/>
                <w:numId w:val="2"/>
              </w:numPr>
              <w:rPr>
                <w:rFonts w:ascii="Times New Roman" w:hAnsi="Times New Roman"/>
                <w:sz w:val="24"/>
                <w:lang w:eastAsia="tr-TR"/>
              </w:rPr>
            </w:pPr>
            <w:r>
              <w:rPr>
                <w:rFonts w:ascii="Times New Roman" w:hAnsi="Times New Roman"/>
                <w:sz w:val="24"/>
                <w:lang w:eastAsia="tr-TR"/>
              </w:rPr>
              <w:t>657 Sayılı Devlet Memurları Kanunu</w:t>
            </w:r>
          </w:p>
          <w:p w:rsidR="00E31930" w:rsidRDefault="00E31930" w:rsidP="00E31930">
            <w:pPr>
              <w:pStyle w:val="AralkYok"/>
              <w:numPr>
                <w:ilvl w:val="0"/>
                <w:numId w:val="2"/>
              </w:numPr>
              <w:rPr>
                <w:rFonts w:ascii="Times New Roman" w:hAnsi="Times New Roman"/>
                <w:sz w:val="24"/>
                <w:szCs w:val="24"/>
                <w:lang w:eastAsia="tr-TR"/>
              </w:rPr>
            </w:pPr>
            <w:r>
              <w:rPr>
                <w:rFonts w:ascii="Times New Roman" w:hAnsi="Times New Roman"/>
                <w:sz w:val="24"/>
                <w:szCs w:val="24"/>
                <w:lang w:eastAsia="tr-TR"/>
              </w:rPr>
              <w:t>4734 Sayılı Kamu İhale Kanunu</w:t>
            </w:r>
          </w:p>
          <w:p w:rsidR="00E31930" w:rsidRDefault="00E31930" w:rsidP="00E31930">
            <w:pPr>
              <w:pStyle w:val="AralkYok"/>
              <w:numPr>
                <w:ilvl w:val="0"/>
                <w:numId w:val="2"/>
              </w:numPr>
              <w:rPr>
                <w:rFonts w:ascii="Times New Roman" w:hAnsi="Times New Roman"/>
                <w:sz w:val="24"/>
                <w:szCs w:val="24"/>
              </w:rPr>
            </w:pPr>
            <w:proofErr w:type="gramStart"/>
            <w:r>
              <w:rPr>
                <w:rFonts w:ascii="Times New Roman" w:hAnsi="Times New Roman"/>
                <w:sz w:val="24"/>
                <w:szCs w:val="24"/>
              </w:rPr>
              <w:t>İnternet  Ortamında</w:t>
            </w:r>
            <w:proofErr w:type="gramEnd"/>
            <w:r>
              <w:rPr>
                <w:rFonts w:ascii="Times New Roman" w:hAnsi="Times New Roman"/>
                <w:sz w:val="24"/>
                <w:szCs w:val="24"/>
              </w:rPr>
              <w:t xml:space="preserve"> Yapılan Yayınların Düzenlenmesi ve Bu</w:t>
            </w:r>
          </w:p>
          <w:p w:rsidR="00E31930" w:rsidRDefault="00E31930" w:rsidP="00604893">
            <w:pPr>
              <w:pStyle w:val="AralkYok"/>
              <w:rPr>
                <w:rFonts w:ascii="Times New Roman" w:hAnsi="Times New Roman"/>
                <w:sz w:val="24"/>
                <w:szCs w:val="24"/>
              </w:rPr>
            </w:pPr>
            <w:r>
              <w:rPr>
                <w:rFonts w:ascii="Times New Roman" w:hAnsi="Times New Roman"/>
                <w:sz w:val="24"/>
                <w:szCs w:val="24"/>
              </w:rPr>
              <w:t xml:space="preserve">      Yayınlar Yoluyla İşlenen Suçlarla Mücadele </w:t>
            </w:r>
            <w:proofErr w:type="gramStart"/>
            <w:r>
              <w:rPr>
                <w:rFonts w:ascii="Times New Roman" w:hAnsi="Times New Roman"/>
                <w:sz w:val="24"/>
                <w:szCs w:val="24"/>
              </w:rPr>
              <w:t>Edilmesi  Hakkında</w:t>
            </w:r>
            <w:proofErr w:type="gramEnd"/>
            <w:r>
              <w:rPr>
                <w:rFonts w:ascii="Times New Roman" w:hAnsi="Times New Roman"/>
                <w:sz w:val="24"/>
                <w:szCs w:val="24"/>
              </w:rPr>
              <w:t xml:space="preserve"> </w:t>
            </w:r>
          </w:p>
          <w:p w:rsidR="00E31930" w:rsidRDefault="00E31930" w:rsidP="00604893">
            <w:pPr>
              <w:pStyle w:val="AralkYok"/>
              <w:rPr>
                <w:rFonts w:ascii="Times New Roman" w:hAnsi="Times New Roman"/>
                <w:sz w:val="24"/>
                <w:szCs w:val="24"/>
              </w:rPr>
            </w:pPr>
            <w:r>
              <w:rPr>
                <w:rFonts w:ascii="Times New Roman" w:hAnsi="Times New Roman"/>
                <w:sz w:val="24"/>
                <w:szCs w:val="24"/>
              </w:rPr>
              <w:t xml:space="preserve">      Kanun (5651)</w:t>
            </w:r>
          </w:p>
          <w:p w:rsidR="00E31930" w:rsidRDefault="00E31930" w:rsidP="00E31930">
            <w:pPr>
              <w:pStyle w:val="AralkYok"/>
              <w:numPr>
                <w:ilvl w:val="0"/>
                <w:numId w:val="2"/>
              </w:numPr>
              <w:rPr>
                <w:rFonts w:ascii="Times New Roman" w:hAnsi="Times New Roman"/>
                <w:sz w:val="24"/>
                <w:szCs w:val="24"/>
                <w:lang w:eastAsia="tr-TR"/>
              </w:rPr>
            </w:pPr>
            <w:r>
              <w:rPr>
                <w:rFonts w:ascii="Times New Roman" w:hAnsi="Times New Roman"/>
                <w:sz w:val="24"/>
                <w:szCs w:val="24"/>
                <w:lang w:eastAsia="tr-TR"/>
              </w:rPr>
              <w:t>Kişisel verilerin Korunması Kanunu (6698)</w:t>
            </w:r>
          </w:p>
          <w:p w:rsidR="00E31930" w:rsidRPr="001264FC" w:rsidRDefault="00E31930" w:rsidP="00E31930">
            <w:pPr>
              <w:pStyle w:val="AralkYok"/>
              <w:numPr>
                <w:ilvl w:val="0"/>
                <w:numId w:val="2"/>
              </w:numPr>
              <w:rPr>
                <w:rFonts w:ascii="Times New Roman" w:hAnsi="Times New Roman"/>
                <w:sz w:val="24"/>
                <w:lang w:eastAsia="tr-TR"/>
              </w:rPr>
            </w:pPr>
            <w:r>
              <w:rPr>
                <w:rFonts w:ascii="Times New Roman" w:hAnsi="Times New Roman"/>
                <w:sz w:val="24"/>
                <w:szCs w:val="24"/>
                <w:lang w:eastAsia="tr-TR"/>
              </w:rPr>
              <w:t>Bilgi İşlem Daire Başkanlığı Yönergeleri</w:t>
            </w:r>
          </w:p>
        </w:tc>
      </w:tr>
    </w:tbl>
    <w:p w:rsidR="00332D6D" w:rsidRDefault="00332D6D"/>
    <w:sectPr w:rsidR="00332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0773"/>
    <w:multiLevelType w:val="hybridMultilevel"/>
    <w:tmpl w:val="3086EB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B2A749D"/>
    <w:multiLevelType w:val="hybridMultilevel"/>
    <w:tmpl w:val="0DA004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CE"/>
    <w:rsid w:val="00332D6D"/>
    <w:rsid w:val="00A139CE"/>
    <w:rsid w:val="00E31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5FA"/>
  <w15:chartTrackingRefBased/>
  <w15:docId w15:val="{555FBED1-2128-478C-BC10-8A6A3076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 Paragraph"/>
    <w:basedOn w:val="Normal"/>
    <w:rsid w:val="00E31930"/>
    <w:pPr>
      <w:spacing w:after="200" w:line="276" w:lineRule="auto"/>
      <w:ind w:left="720"/>
      <w:contextualSpacing/>
    </w:pPr>
    <w:rPr>
      <w:rFonts w:ascii="Calibri" w:eastAsia="Times New Roman" w:hAnsi="Calibri" w:cs="Times New Roman"/>
    </w:rPr>
  </w:style>
  <w:style w:type="paragraph" w:styleId="AralkYok">
    <w:name w:val="No Spacing"/>
    <w:uiPriority w:val="1"/>
    <w:qFormat/>
    <w:rsid w:val="00E3193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2025-08-27T11:35:00Z</dcterms:created>
  <dcterms:modified xsi:type="dcterms:W3CDTF">2025-08-27T11:36:00Z</dcterms:modified>
</cp:coreProperties>
</file>