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689"/>
      </w:tblGrid>
      <w:tr w14:paraId="6A17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17" w:type="dxa"/>
            <w:vMerge w:val="restart"/>
            <w:noWrap/>
          </w:tcPr>
          <w:p w14:paraId="56A7759A">
            <w:pPr>
              <w:spacing w:after="0" w:line="240" w:lineRule="auto"/>
            </w:pPr>
            <w:bookmarkStart w:id="0" w:name="_GoBack"/>
            <w:bookmarkEnd w:id="0"/>
            <w:r>
              <w:rPr>
                <w:lang w:eastAsia="tr-TR"/>
              </w:rPr>
              <w:drawing>
                <wp:inline distT="0" distB="0" distL="0" distR="0">
                  <wp:extent cx="809625" cy="815975"/>
                  <wp:effectExtent l="0" t="0" r="0" b="3175"/>
                  <wp:docPr id="1" name="Resim 1" descr="C:\Users\msinb\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msinb\Desktop\logo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4769" cy="831420"/>
                          </a:xfrm>
                          <a:prstGeom prst="rect">
                            <a:avLst/>
                          </a:prstGeom>
                          <a:noFill/>
                          <a:ln>
                            <a:noFill/>
                          </a:ln>
                        </pic:spPr>
                      </pic:pic>
                    </a:graphicData>
                  </a:graphic>
                </wp:inline>
              </w:drawing>
            </w:r>
          </w:p>
        </w:tc>
        <w:tc>
          <w:tcPr>
            <w:tcW w:w="8689" w:type="dxa"/>
          </w:tcPr>
          <w:p w14:paraId="044BF23B">
            <w:pPr>
              <w:spacing w:after="0" w:line="240" w:lineRule="auto"/>
              <w:jc w:val="center"/>
              <w:rPr>
                <w:b/>
              </w:rPr>
            </w:pPr>
            <w:r>
              <w:rPr>
                <w:b/>
              </w:rPr>
              <w:t>KÜTAHYA DUMLUPINAR ÜNİVERSİTESİ</w:t>
            </w:r>
          </w:p>
        </w:tc>
      </w:tr>
      <w:tr w14:paraId="579B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17" w:type="dxa"/>
            <w:vMerge w:val="continue"/>
          </w:tcPr>
          <w:p w14:paraId="736CE6AC">
            <w:pPr>
              <w:spacing w:after="0" w:line="240" w:lineRule="auto"/>
            </w:pPr>
          </w:p>
        </w:tc>
        <w:tc>
          <w:tcPr>
            <w:tcW w:w="8689" w:type="dxa"/>
          </w:tcPr>
          <w:p w14:paraId="5AB8D97C">
            <w:pPr>
              <w:spacing w:after="0" w:line="240" w:lineRule="auto"/>
              <w:jc w:val="center"/>
              <w:rPr>
                <w:b/>
              </w:rPr>
            </w:pPr>
            <w:r>
              <w:rPr>
                <w:b/>
              </w:rPr>
              <w:t>Hukuk Müşavirliği</w:t>
            </w:r>
          </w:p>
        </w:tc>
      </w:tr>
      <w:tr w14:paraId="5513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17" w:type="dxa"/>
            <w:vMerge w:val="continue"/>
          </w:tcPr>
          <w:p w14:paraId="4E6585F6">
            <w:pPr>
              <w:spacing w:after="0" w:line="240" w:lineRule="auto"/>
            </w:pPr>
          </w:p>
        </w:tc>
        <w:tc>
          <w:tcPr>
            <w:tcW w:w="8689" w:type="dxa"/>
          </w:tcPr>
          <w:p w14:paraId="0070E001">
            <w:pPr>
              <w:spacing w:after="0" w:line="240" w:lineRule="auto"/>
              <w:jc w:val="center"/>
              <w:rPr>
                <w:b/>
              </w:rPr>
            </w:pPr>
            <w:r>
              <w:rPr>
                <w:b/>
              </w:rPr>
              <w:t>İdari Personel Görev Tanım Formu</w:t>
            </w:r>
          </w:p>
        </w:tc>
      </w:tr>
      <w:tr w14:paraId="01F1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17" w:type="dxa"/>
          </w:tcPr>
          <w:p w14:paraId="1554F72A">
            <w:pPr>
              <w:spacing w:after="0" w:line="240" w:lineRule="auto"/>
            </w:pPr>
            <w:r>
              <w:t>Unvanı</w:t>
            </w:r>
          </w:p>
        </w:tc>
        <w:tc>
          <w:tcPr>
            <w:tcW w:w="8689" w:type="dxa"/>
          </w:tcPr>
          <w:p w14:paraId="1CD6FC2F">
            <w:pPr>
              <w:spacing w:after="0" w:line="240" w:lineRule="auto"/>
            </w:pPr>
            <w:r>
              <w:t>Hukuk Müşaviri</w:t>
            </w:r>
          </w:p>
        </w:tc>
      </w:tr>
      <w:tr w14:paraId="32F4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17" w:type="dxa"/>
          </w:tcPr>
          <w:p w14:paraId="6D98957B">
            <w:pPr>
              <w:spacing w:after="0" w:line="240" w:lineRule="auto"/>
            </w:pPr>
            <w:r>
              <w:t>Birim</w:t>
            </w:r>
          </w:p>
        </w:tc>
        <w:tc>
          <w:tcPr>
            <w:tcW w:w="8689" w:type="dxa"/>
          </w:tcPr>
          <w:p w14:paraId="3DB77327">
            <w:pPr>
              <w:spacing w:after="0" w:line="240" w:lineRule="auto"/>
            </w:pPr>
            <w:r>
              <w:t>Hukuk Müşavirliği</w:t>
            </w:r>
          </w:p>
        </w:tc>
      </w:tr>
      <w:tr w14:paraId="1CAA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17" w:type="dxa"/>
          </w:tcPr>
          <w:p w14:paraId="45098776">
            <w:pPr>
              <w:spacing w:after="0" w:line="240" w:lineRule="auto"/>
            </w:pPr>
            <w:r>
              <w:t>Birim Yetkilisi</w:t>
            </w:r>
          </w:p>
        </w:tc>
        <w:tc>
          <w:tcPr>
            <w:tcW w:w="8689" w:type="dxa"/>
          </w:tcPr>
          <w:p w14:paraId="107405FE">
            <w:pPr>
              <w:spacing w:after="0" w:line="240" w:lineRule="auto"/>
            </w:pPr>
            <w:r>
              <w:t>Hukuk Müşaviri</w:t>
            </w:r>
          </w:p>
        </w:tc>
      </w:tr>
      <w:tr w14:paraId="1B3B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17" w:type="dxa"/>
          </w:tcPr>
          <w:p w14:paraId="24C46B9F">
            <w:pPr>
              <w:spacing w:after="0" w:line="240" w:lineRule="auto"/>
            </w:pPr>
            <w:r>
              <w:t>Dayanak</w:t>
            </w:r>
          </w:p>
        </w:tc>
        <w:tc>
          <w:tcPr>
            <w:tcW w:w="8689" w:type="dxa"/>
          </w:tcPr>
          <w:p w14:paraId="65A59404">
            <w:pPr>
              <w:spacing w:after="0" w:line="240" w:lineRule="auto"/>
            </w:pPr>
            <w:r>
              <w:t>Hukuk Müşaviri</w:t>
            </w:r>
          </w:p>
        </w:tc>
      </w:tr>
      <w:tr w14:paraId="5970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17" w:type="dxa"/>
          </w:tcPr>
          <w:p w14:paraId="31D791E4">
            <w:pPr>
              <w:spacing w:after="0" w:line="240" w:lineRule="auto"/>
            </w:pPr>
            <w:r>
              <w:t>Görev Devri (Olmadığında yerine bakacak personel)</w:t>
            </w:r>
          </w:p>
        </w:tc>
        <w:tc>
          <w:tcPr>
            <w:tcW w:w="8689" w:type="dxa"/>
          </w:tcPr>
          <w:p w14:paraId="3EB4AE46">
            <w:pPr>
              <w:spacing w:after="0" w:line="240" w:lineRule="auto"/>
            </w:pPr>
            <w:r>
              <w:t>Hukuk Müşaviri tarafından uygun görülecek Avukat</w:t>
            </w:r>
          </w:p>
        </w:tc>
      </w:tr>
      <w:tr w14:paraId="318A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17" w:type="dxa"/>
            <w:vMerge w:val="restart"/>
          </w:tcPr>
          <w:p w14:paraId="43004441">
            <w:pPr>
              <w:spacing w:after="0" w:line="240" w:lineRule="auto"/>
            </w:pPr>
            <w:r>
              <w:t>Görev Amacı</w:t>
            </w:r>
          </w:p>
        </w:tc>
        <w:tc>
          <w:tcPr>
            <w:tcW w:w="8689" w:type="dxa"/>
            <w:vMerge w:val="restart"/>
          </w:tcPr>
          <w:p w14:paraId="2317115C">
            <w:pPr>
              <w:spacing w:after="0" w:line="240" w:lineRule="auto"/>
              <w:jc w:val="both"/>
            </w:pPr>
            <w:r>
              <w:t>Üniversitemiz hukuk hizmetlerinin sorunsuz, hızlı, etkin ve objektif biçimde yürütülmesini sağlamak amacıyla, yürürlükteki mevzuat hükümleri doğrultusunda her türlü hukuki hizmeti sunmak, hukuki sorunları üniversitemiz menfaatleri doğrultusunda çözüme kavuşturmaktır.</w:t>
            </w:r>
          </w:p>
        </w:tc>
      </w:tr>
      <w:tr w14:paraId="2D02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17" w:type="dxa"/>
            <w:vMerge w:val="continue"/>
          </w:tcPr>
          <w:p w14:paraId="70DE9F17">
            <w:pPr>
              <w:spacing w:after="0" w:line="240" w:lineRule="auto"/>
            </w:pPr>
          </w:p>
        </w:tc>
        <w:tc>
          <w:tcPr>
            <w:tcW w:w="8689" w:type="dxa"/>
            <w:vMerge w:val="continue"/>
          </w:tcPr>
          <w:p w14:paraId="7BACCDE9">
            <w:pPr>
              <w:spacing w:after="0" w:line="240" w:lineRule="auto"/>
              <w:jc w:val="both"/>
            </w:pPr>
          </w:p>
        </w:tc>
      </w:tr>
      <w:tr w14:paraId="2F9E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tcPr>
          <w:p w14:paraId="66FA4F78">
            <w:pPr>
              <w:spacing w:after="0" w:line="240" w:lineRule="auto"/>
            </w:pPr>
          </w:p>
        </w:tc>
        <w:tc>
          <w:tcPr>
            <w:tcW w:w="8689" w:type="dxa"/>
            <w:vMerge w:val="continue"/>
          </w:tcPr>
          <w:p w14:paraId="4701943D">
            <w:pPr>
              <w:spacing w:after="0" w:line="240" w:lineRule="auto"/>
              <w:jc w:val="both"/>
            </w:pPr>
          </w:p>
        </w:tc>
      </w:tr>
      <w:tr w14:paraId="7CBD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17" w:type="dxa"/>
            <w:vMerge w:val="restart"/>
          </w:tcPr>
          <w:p w14:paraId="0E7E6D31">
            <w:pPr>
              <w:spacing w:after="0" w:line="240" w:lineRule="auto"/>
            </w:pPr>
            <w:r>
              <w:t>Temel İş ve Sorumlulukları</w:t>
            </w:r>
          </w:p>
          <w:p w14:paraId="6EF1B32B">
            <w:pPr>
              <w:spacing w:after="0" w:line="240" w:lineRule="auto"/>
            </w:pPr>
            <w:r>
              <w:t> </w:t>
            </w:r>
          </w:p>
          <w:p w14:paraId="3F21C1C7">
            <w:pPr>
              <w:spacing w:after="0" w:line="240" w:lineRule="auto"/>
            </w:pPr>
            <w:r>
              <w:t> </w:t>
            </w:r>
          </w:p>
          <w:p w14:paraId="50F59663">
            <w:pPr>
              <w:spacing w:after="0" w:line="240" w:lineRule="auto"/>
            </w:pPr>
            <w:r>
              <w:t> </w:t>
            </w:r>
          </w:p>
          <w:p w14:paraId="655BCAC1">
            <w:pPr>
              <w:spacing w:after="0" w:line="240" w:lineRule="auto"/>
            </w:pPr>
            <w:r>
              <w:t> </w:t>
            </w:r>
          </w:p>
          <w:p w14:paraId="6B8DE547">
            <w:pPr>
              <w:spacing w:after="0" w:line="240" w:lineRule="auto"/>
            </w:pPr>
            <w:r>
              <w:t> </w:t>
            </w:r>
          </w:p>
          <w:p w14:paraId="7F8215D8">
            <w:pPr>
              <w:spacing w:after="0" w:line="240" w:lineRule="auto"/>
            </w:pPr>
            <w:r>
              <w:t> </w:t>
            </w:r>
          </w:p>
          <w:p w14:paraId="74FDD498">
            <w:pPr>
              <w:spacing w:after="0" w:line="240" w:lineRule="auto"/>
            </w:pPr>
            <w:r>
              <w:t> </w:t>
            </w:r>
          </w:p>
          <w:p w14:paraId="3445899F">
            <w:pPr>
              <w:spacing w:after="0" w:line="240" w:lineRule="auto"/>
            </w:pPr>
            <w:r>
              <w:t> </w:t>
            </w:r>
          </w:p>
        </w:tc>
        <w:tc>
          <w:tcPr>
            <w:tcW w:w="8689" w:type="dxa"/>
          </w:tcPr>
          <w:p w14:paraId="5FE2085F">
            <w:pPr>
              <w:spacing w:after="0" w:line="240" w:lineRule="auto"/>
              <w:jc w:val="both"/>
            </w:pPr>
            <w:r>
              <w:t>1.Hukuk Müşavirliğinin çalışmalarını düzenlemek, yönetmek ve denetlemek.</w:t>
            </w:r>
          </w:p>
        </w:tc>
      </w:tr>
      <w:tr w14:paraId="70C7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7" w:type="dxa"/>
            <w:vMerge w:val="continue"/>
          </w:tcPr>
          <w:p w14:paraId="300ED1F2">
            <w:pPr>
              <w:spacing w:after="0" w:line="240" w:lineRule="auto"/>
            </w:pPr>
          </w:p>
        </w:tc>
        <w:tc>
          <w:tcPr>
            <w:tcW w:w="8689" w:type="dxa"/>
          </w:tcPr>
          <w:p w14:paraId="15EC7D4A">
            <w:pPr>
              <w:spacing w:after="0" w:line="240" w:lineRule="auto"/>
              <w:jc w:val="both"/>
            </w:pPr>
            <w:r>
              <w:t>2.Adli ve idari yargıda, icra dairelerinde ve hakemler nezdinde vekil sıfatıyla Rektörlüğü doğrudan temsil etmek.</w:t>
            </w:r>
          </w:p>
        </w:tc>
      </w:tr>
      <w:tr w14:paraId="52EB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17" w:type="dxa"/>
            <w:vMerge w:val="continue"/>
          </w:tcPr>
          <w:p w14:paraId="73558720">
            <w:pPr>
              <w:spacing w:after="0" w:line="240" w:lineRule="auto"/>
            </w:pPr>
          </w:p>
        </w:tc>
        <w:tc>
          <w:tcPr>
            <w:tcW w:w="8689" w:type="dxa"/>
          </w:tcPr>
          <w:p w14:paraId="50F86A55">
            <w:pPr>
              <w:spacing w:after="0" w:line="240" w:lineRule="auto"/>
              <w:jc w:val="both"/>
            </w:pPr>
            <w:r>
              <w:t>3.Hukuk Müşavirliğini temsil etmek ve Üniversiteyi ilgilendiren hukuki konularda müşavirlik yapmak, Rektörlük birimlerinden intikal ettirilen konularda hukuki yardım yapmak ve yaptırmak, sonuçları ilgililere bildirmek.</w:t>
            </w:r>
          </w:p>
        </w:tc>
      </w:tr>
      <w:tr w14:paraId="50FB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17" w:type="dxa"/>
            <w:vMerge w:val="continue"/>
          </w:tcPr>
          <w:p w14:paraId="75A522FF">
            <w:pPr>
              <w:spacing w:after="0" w:line="240" w:lineRule="auto"/>
            </w:pPr>
          </w:p>
        </w:tc>
        <w:tc>
          <w:tcPr>
            <w:tcW w:w="8689" w:type="dxa"/>
          </w:tcPr>
          <w:p w14:paraId="457F1285">
            <w:pPr>
              <w:spacing w:after="0" w:line="240" w:lineRule="auto"/>
              <w:jc w:val="both"/>
            </w:pPr>
            <w:r>
              <w:t>4.Hukuk Müşavirliğinin çalışmalarını düzenlemek, yönetmek ve denetlemek.</w:t>
            </w:r>
          </w:p>
        </w:tc>
      </w:tr>
      <w:tr w14:paraId="2453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17" w:type="dxa"/>
            <w:vMerge w:val="continue"/>
          </w:tcPr>
          <w:p w14:paraId="516E9B6F">
            <w:pPr>
              <w:spacing w:after="0" w:line="240" w:lineRule="auto"/>
            </w:pPr>
          </w:p>
        </w:tc>
        <w:tc>
          <w:tcPr>
            <w:tcW w:w="8689" w:type="dxa"/>
          </w:tcPr>
          <w:p w14:paraId="56A950F1">
            <w:pPr>
              <w:spacing w:after="0" w:line="240" w:lineRule="auto"/>
              <w:jc w:val="both"/>
            </w:pPr>
            <w:r>
              <w:t>5.Hukuk Müşavirliğinden görüş istenen konularda gerekli çalışmaları yapmak ve sonuçları ilgililere bildirmek.</w:t>
            </w:r>
          </w:p>
        </w:tc>
      </w:tr>
      <w:tr w14:paraId="5C30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17" w:type="dxa"/>
            <w:vMerge w:val="continue"/>
          </w:tcPr>
          <w:p w14:paraId="345CA9E4">
            <w:pPr>
              <w:spacing w:after="0" w:line="240" w:lineRule="auto"/>
            </w:pPr>
          </w:p>
        </w:tc>
        <w:tc>
          <w:tcPr>
            <w:tcW w:w="8689" w:type="dxa"/>
          </w:tcPr>
          <w:p w14:paraId="2E207D09">
            <w:pPr>
              <w:spacing w:after="0" w:line="240" w:lineRule="auto"/>
              <w:jc w:val="both"/>
            </w:pPr>
            <w:r>
              <w:t>6.Hukuk Müşavirliğindeki avukat ve büro personelinin uyumlu çalışmasını sağlamak; personel arasında iş /görev tanımlamasını yapıp, personele görevlerini yazılı olarak tebliğ etmek.</w:t>
            </w:r>
          </w:p>
        </w:tc>
      </w:tr>
      <w:tr w14:paraId="7E71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17" w:type="dxa"/>
            <w:vMerge w:val="continue"/>
          </w:tcPr>
          <w:p w14:paraId="35893F6D">
            <w:pPr>
              <w:spacing w:after="0" w:line="240" w:lineRule="auto"/>
            </w:pPr>
          </w:p>
        </w:tc>
        <w:tc>
          <w:tcPr>
            <w:tcW w:w="8689" w:type="dxa"/>
          </w:tcPr>
          <w:p w14:paraId="6F136748">
            <w:pPr>
              <w:spacing w:after="0" w:line="240" w:lineRule="auto"/>
              <w:jc w:val="both"/>
            </w:pPr>
            <w:r>
              <w:t>7.Dava ve icra dosyalarını adil biçimde avukatlara dağıtmak</w:t>
            </w:r>
          </w:p>
        </w:tc>
      </w:tr>
      <w:tr w14:paraId="2354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17" w:type="dxa"/>
            <w:vMerge w:val="continue"/>
          </w:tcPr>
          <w:p w14:paraId="73FE1245">
            <w:pPr>
              <w:spacing w:after="0" w:line="240" w:lineRule="auto"/>
            </w:pPr>
          </w:p>
        </w:tc>
        <w:tc>
          <w:tcPr>
            <w:tcW w:w="8689" w:type="dxa"/>
          </w:tcPr>
          <w:p w14:paraId="45B1D818">
            <w:pPr>
              <w:spacing w:after="0" w:line="240" w:lineRule="auto"/>
              <w:jc w:val="both"/>
            </w:pPr>
            <w:r>
              <w:t>8.Hukuk Müşavirliğine havale edilen kanun, yönetmelik, genelge ve talimat gibi</w:t>
            </w:r>
            <w:r>
              <w:br w:type="textWrapping"/>
            </w:r>
            <w:r>
              <w:t>düzenlemelerle ilgili çalışmalara katılmak.</w:t>
            </w:r>
          </w:p>
        </w:tc>
      </w:tr>
      <w:tr w14:paraId="32D1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17" w:type="dxa"/>
            <w:vMerge w:val="continue"/>
          </w:tcPr>
          <w:p w14:paraId="50B26610">
            <w:pPr>
              <w:spacing w:after="0" w:line="240" w:lineRule="auto"/>
            </w:pPr>
          </w:p>
        </w:tc>
        <w:tc>
          <w:tcPr>
            <w:tcW w:w="8689" w:type="dxa"/>
          </w:tcPr>
          <w:p w14:paraId="174B02C7">
            <w:pPr>
              <w:spacing w:after="0" w:line="240" w:lineRule="auto"/>
              <w:jc w:val="both"/>
            </w:pPr>
            <w:r>
              <w:t>9.Hukuk Müşavirliği kapsamında yapılan çalışmalarla ilgili Genel Sekretere, ilgili Rektör Yardımcısına ve Rektöre bilgi vermek.</w:t>
            </w:r>
          </w:p>
        </w:tc>
      </w:tr>
      <w:tr w14:paraId="616E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17" w:type="dxa"/>
            <w:vMerge w:val="continue"/>
          </w:tcPr>
          <w:p w14:paraId="1E7B400E">
            <w:pPr>
              <w:spacing w:after="0" w:line="240" w:lineRule="auto"/>
            </w:pPr>
          </w:p>
        </w:tc>
        <w:tc>
          <w:tcPr>
            <w:tcW w:w="8689" w:type="dxa"/>
          </w:tcPr>
          <w:p w14:paraId="6FCE8249">
            <w:pPr>
              <w:spacing w:after="0" w:line="240" w:lineRule="auto"/>
              <w:jc w:val="both"/>
            </w:pPr>
            <w:r>
              <w:t>10.Üniversitenin menfaatlerini korumak amacıyla gerekli tedbirleri almak ya da tedbirlerin alınmasını talep etmek.</w:t>
            </w:r>
          </w:p>
        </w:tc>
      </w:tr>
      <w:tr w14:paraId="25BD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17" w:type="dxa"/>
            <w:vMerge w:val="continue"/>
          </w:tcPr>
          <w:p w14:paraId="5D1E5EA4">
            <w:pPr>
              <w:spacing w:after="0" w:line="240" w:lineRule="auto"/>
            </w:pPr>
          </w:p>
        </w:tc>
        <w:tc>
          <w:tcPr>
            <w:tcW w:w="8689" w:type="dxa"/>
          </w:tcPr>
          <w:p w14:paraId="11519D7E">
            <w:pPr>
              <w:spacing w:after="0" w:line="240" w:lineRule="auto"/>
              <w:jc w:val="both"/>
            </w:pPr>
            <w:r>
              <w:t>11.Uyuşmazlık bulunan durumlarda; talep edilmesi halinde görüş bildirmek.</w:t>
            </w:r>
          </w:p>
        </w:tc>
      </w:tr>
      <w:tr w14:paraId="3EE8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17" w:type="dxa"/>
            <w:vMerge w:val="continue"/>
          </w:tcPr>
          <w:p w14:paraId="29DBB909">
            <w:pPr>
              <w:spacing w:after="0" w:line="240" w:lineRule="auto"/>
            </w:pPr>
          </w:p>
        </w:tc>
        <w:tc>
          <w:tcPr>
            <w:tcW w:w="8689" w:type="dxa"/>
          </w:tcPr>
          <w:p w14:paraId="4EFDB6B4">
            <w:pPr>
              <w:spacing w:after="0" w:line="240" w:lineRule="auto"/>
              <w:jc w:val="both"/>
            </w:pPr>
            <w:r>
              <w:t>12.Üniversitenin taraf olduğu sözleşme, protokol gibi metinlerin hukuken incelemek.</w:t>
            </w:r>
          </w:p>
        </w:tc>
      </w:tr>
      <w:tr w14:paraId="7F3B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517" w:type="dxa"/>
            <w:vMerge w:val="continue"/>
          </w:tcPr>
          <w:p w14:paraId="51C5788A">
            <w:pPr>
              <w:spacing w:after="0" w:line="240" w:lineRule="auto"/>
            </w:pPr>
          </w:p>
        </w:tc>
        <w:tc>
          <w:tcPr>
            <w:tcW w:w="8689" w:type="dxa"/>
          </w:tcPr>
          <w:p w14:paraId="573CC0AE">
            <w:pPr>
              <w:spacing w:after="0" w:line="240" w:lineRule="auto"/>
              <w:jc w:val="both"/>
            </w:pPr>
            <w:r>
              <w:t>13.İdari veya adli yargıda görülen davalarda, Rektörlükten talep edilen bilgi ve belgelerin ilgili birimlerden talep edilerek, mahkemeye sunulmasını sağlamak.</w:t>
            </w:r>
          </w:p>
        </w:tc>
      </w:tr>
      <w:tr w14:paraId="163D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517" w:type="dxa"/>
            <w:vMerge w:val="continue"/>
          </w:tcPr>
          <w:p w14:paraId="1A873E95">
            <w:pPr>
              <w:spacing w:after="0" w:line="240" w:lineRule="auto"/>
            </w:pPr>
          </w:p>
        </w:tc>
        <w:tc>
          <w:tcPr>
            <w:tcW w:w="8689" w:type="dxa"/>
          </w:tcPr>
          <w:p w14:paraId="6B96B360">
            <w:pPr>
              <w:spacing w:after="0" w:line="240" w:lineRule="auto"/>
              <w:jc w:val="both"/>
            </w:pPr>
            <w:r>
              <w:t>14.Adli veya idari yargıda görülen davalara sunulan savunma ve eklerinin kontrolünü sağlamak</w:t>
            </w:r>
          </w:p>
        </w:tc>
      </w:tr>
      <w:tr w14:paraId="3C3C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7" w:type="dxa"/>
            <w:vMerge w:val="continue"/>
          </w:tcPr>
          <w:p w14:paraId="16A65D53">
            <w:pPr>
              <w:spacing w:after="0" w:line="240" w:lineRule="auto"/>
            </w:pPr>
          </w:p>
        </w:tc>
        <w:tc>
          <w:tcPr>
            <w:tcW w:w="8689" w:type="dxa"/>
          </w:tcPr>
          <w:p w14:paraId="750F1F70">
            <w:pPr>
              <w:spacing w:after="0" w:line="240" w:lineRule="auto"/>
              <w:jc w:val="both"/>
            </w:pPr>
            <w:r>
              <w:t>15.Adli ve idari makamlar nezdinde yapılacak olan yargılama, icra işlemlerinde ve diğer hukuki işlemlerde aksama olmaması için Adalet Bakanlığının çalıştığı anlaşmalı bankada Üniversitemiz adına hesap açılmasını talep etmek</w:t>
            </w:r>
          </w:p>
        </w:tc>
      </w:tr>
      <w:tr w14:paraId="7F77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17" w:type="dxa"/>
            <w:vMerge w:val="continue"/>
          </w:tcPr>
          <w:p w14:paraId="1FE652EF">
            <w:pPr>
              <w:spacing w:after="0" w:line="240" w:lineRule="auto"/>
            </w:pPr>
          </w:p>
        </w:tc>
        <w:tc>
          <w:tcPr>
            <w:tcW w:w="8689" w:type="dxa"/>
          </w:tcPr>
          <w:p w14:paraId="044FD561">
            <w:pPr>
              <w:spacing w:after="0" w:line="240" w:lineRule="auto"/>
              <w:jc w:val="both"/>
            </w:pPr>
            <w:r>
              <w:t>16.Yargılama sonucunda verilen hükmün uygulanmasını sağlamak ve vekâlet ücreti dahil her türlü alacağın tahsilini sağlamak amacıyla birim personelini görevlendirmek.</w:t>
            </w:r>
          </w:p>
        </w:tc>
      </w:tr>
      <w:tr w14:paraId="0CE0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517" w:type="dxa"/>
            <w:vMerge w:val="continue"/>
          </w:tcPr>
          <w:p w14:paraId="0137A547">
            <w:pPr>
              <w:spacing w:after="0" w:line="240" w:lineRule="auto"/>
            </w:pPr>
          </w:p>
        </w:tc>
        <w:tc>
          <w:tcPr>
            <w:tcW w:w="8689" w:type="dxa"/>
          </w:tcPr>
          <w:p w14:paraId="094CB710">
            <w:pPr>
              <w:spacing w:after="0" w:line="240" w:lineRule="auto"/>
              <w:jc w:val="both"/>
            </w:pPr>
            <w:r>
              <w:t>17.Kanun kapsamında, adli ya da idari yargıda görülen davalar, icra dairesinde bulunan icra takipleri veya hakem nezdinde bulunan dosyalarla birlikte hukuki konuları ihtiva eden durumlarda, Rektörlük Oluru ile üçüncü kişilere gerekli bilgi ve belgeleri sunmak.</w:t>
            </w:r>
          </w:p>
        </w:tc>
      </w:tr>
      <w:tr w14:paraId="094F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17" w:type="dxa"/>
            <w:vMerge w:val="continue"/>
          </w:tcPr>
          <w:p w14:paraId="5FB430E7">
            <w:pPr>
              <w:spacing w:after="0" w:line="240" w:lineRule="auto"/>
            </w:pPr>
          </w:p>
        </w:tc>
        <w:tc>
          <w:tcPr>
            <w:tcW w:w="8689" w:type="dxa"/>
          </w:tcPr>
          <w:p w14:paraId="6E6702D7">
            <w:pPr>
              <w:spacing w:after="0" w:line="240" w:lineRule="auto"/>
              <w:jc w:val="both"/>
            </w:pPr>
            <w:r>
              <w:t>18.Hukuk Uyuşmazlık Değerlendirme Komisyonunda üye olarak görev yapmak.</w:t>
            </w:r>
          </w:p>
        </w:tc>
      </w:tr>
      <w:tr w14:paraId="5A81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17" w:type="dxa"/>
            <w:vMerge w:val="continue"/>
          </w:tcPr>
          <w:p w14:paraId="76E10ED0">
            <w:pPr>
              <w:spacing w:after="0" w:line="240" w:lineRule="auto"/>
            </w:pPr>
          </w:p>
        </w:tc>
        <w:tc>
          <w:tcPr>
            <w:tcW w:w="8689" w:type="dxa"/>
          </w:tcPr>
          <w:p w14:paraId="1981567B">
            <w:pPr>
              <w:spacing w:after="0" w:line="240" w:lineRule="auto"/>
              <w:jc w:val="both"/>
            </w:pPr>
            <w:r>
              <w:t>19.Diğer kanunlarla ya da Rektörlükçe verilecek görev kapsamındaki diğer işleri yapmak.</w:t>
            </w:r>
          </w:p>
        </w:tc>
      </w:tr>
      <w:tr w14:paraId="7B2B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17" w:type="dxa"/>
            <w:vMerge w:val="restart"/>
          </w:tcPr>
          <w:p w14:paraId="39542BD7">
            <w:pPr>
              <w:spacing w:after="0" w:line="240" w:lineRule="auto"/>
            </w:pPr>
            <w:r>
              <w:t>Görev Yetkileri</w:t>
            </w:r>
          </w:p>
        </w:tc>
        <w:tc>
          <w:tcPr>
            <w:tcW w:w="8689" w:type="dxa"/>
          </w:tcPr>
          <w:p w14:paraId="04ADC8B9">
            <w:pPr>
              <w:spacing w:after="0" w:line="240" w:lineRule="auto"/>
              <w:jc w:val="both"/>
            </w:pPr>
            <w:r>
              <w:t>EBYS Sistemini Kullanmak.</w:t>
            </w:r>
          </w:p>
        </w:tc>
      </w:tr>
      <w:tr w14:paraId="3385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17" w:type="dxa"/>
            <w:vMerge w:val="continue"/>
          </w:tcPr>
          <w:p w14:paraId="21FDAF10">
            <w:pPr>
              <w:spacing w:after="0" w:line="240" w:lineRule="auto"/>
            </w:pPr>
          </w:p>
        </w:tc>
        <w:tc>
          <w:tcPr>
            <w:tcW w:w="8689" w:type="dxa"/>
          </w:tcPr>
          <w:p w14:paraId="179FCFF9">
            <w:pPr>
              <w:spacing w:after="0" w:line="240" w:lineRule="auto"/>
              <w:jc w:val="both"/>
            </w:pPr>
            <w:r>
              <w:t>HYS - MYS (Harcama Yönetim Sistemi) Kullanmak.</w:t>
            </w:r>
          </w:p>
        </w:tc>
      </w:tr>
      <w:tr w14:paraId="1E2B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17" w:type="dxa"/>
            <w:vMerge w:val="continue"/>
          </w:tcPr>
          <w:p w14:paraId="2D21441B">
            <w:pPr>
              <w:spacing w:after="0" w:line="240" w:lineRule="auto"/>
            </w:pPr>
          </w:p>
        </w:tc>
        <w:tc>
          <w:tcPr>
            <w:tcW w:w="8689" w:type="dxa"/>
          </w:tcPr>
          <w:p w14:paraId="65EDD1A2">
            <w:pPr>
              <w:spacing w:after="0" w:line="240" w:lineRule="auto"/>
              <w:jc w:val="both"/>
            </w:pPr>
            <w:r>
              <w:t>Dava ve İcra Takip Sistemini Kullanmak</w:t>
            </w:r>
          </w:p>
        </w:tc>
      </w:tr>
    </w:tbl>
    <w:p w14:paraId="444F083D"/>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05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2025-06-20T06:42:01Z</dcterms:created>
  <dc:creator>Aidata</dc:creator>
  <cp:lastModifiedBy>Aidata</cp:lastModifiedBy>
  <dcterms:modified xsi:type="dcterms:W3CDTF">2025-06-20T06:42:30Z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40260ECF6F3947F1BB46411611637897_12</vt:lpwstr>
  </property>
</Properties>
</file>