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62"/>
        <w:gridCol w:w="874"/>
        <w:gridCol w:w="215"/>
        <w:gridCol w:w="1417"/>
        <w:gridCol w:w="1502"/>
        <w:gridCol w:w="1543"/>
        <w:gridCol w:w="676"/>
        <w:gridCol w:w="200"/>
        <w:gridCol w:w="810"/>
        <w:gridCol w:w="528"/>
      </w:tblGrid>
      <w:tr w:rsidR="00F84A27" w:rsidRPr="006D0102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Kütüphane ve Dokümantasyon Daire Başkanlığı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F84A27" w:rsidRPr="006D0102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F84A27" w:rsidRPr="006D0102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E5553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E5553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E5553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E5553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A27" w:rsidRPr="006D0102" w:rsidRDefault="00F84A27" w:rsidP="00E5553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</w:tr>
      <w:tr w:rsidR="00F84A27" w:rsidRPr="006D0102" w:rsidTr="00E5553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E5553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E5553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E5553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E5553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E5553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E5553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84A27" w:rsidRPr="006D0102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E5553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E5553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:rsidR="00F84A27" w:rsidRDefault="00F84A27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9373" w:type="dxa"/>
        <w:tblLayout w:type="fixed"/>
        <w:tblLook w:val="04A0" w:firstRow="1" w:lastRow="0" w:firstColumn="1" w:lastColumn="0" w:noHBand="0" w:noVBand="1"/>
      </w:tblPr>
      <w:tblGrid>
        <w:gridCol w:w="2587"/>
        <w:gridCol w:w="6786"/>
      </w:tblGrid>
      <w:tr w:rsidR="00F84A27" w:rsidRPr="00EF012D" w:rsidTr="004F0169">
        <w:trPr>
          <w:trHeight w:val="514"/>
        </w:trPr>
        <w:tc>
          <w:tcPr>
            <w:tcW w:w="2587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6786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Kütüphane ve Dokümantasyon Daire Başkanlığı</w:t>
            </w:r>
          </w:p>
        </w:tc>
      </w:tr>
      <w:tr w:rsidR="00F84A27" w:rsidRPr="00EF012D" w:rsidTr="004F0169">
        <w:trPr>
          <w:trHeight w:val="481"/>
        </w:trPr>
        <w:tc>
          <w:tcPr>
            <w:tcW w:w="2587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6786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Harcama Yetkilisi</w:t>
            </w:r>
          </w:p>
        </w:tc>
      </w:tr>
      <w:tr w:rsidR="00F84A27" w:rsidRPr="00EF012D" w:rsidTr="004F0169">
        <w:trPr>
          <w:trHeight w:val="314"/>
        </w:trPr>
        <w:tc>
          <w:tcPr>
            <w:tcW w:w="2587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6786" w:type="dxa"/>
            <w:vAlign w:val="center"/>
          </w:tcPr>
          <w:p w:rsidR="00F84A27" w:rsidRDefault="00F84A27" w:rsidP="00DF43C0">
            <w:pPr>
              <w:ind w:right="-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 w:rsidRPr="00DF43C0">
              <w:rPr>
                <w:sz w:val="18"/>
                <w:szCs w:val="18"/>
              </w:rPr>
              <w:t xml:space="preserve">Bütçenin aşılması ya </w:t>
            </w:r>
            <w:r>
              <w:rPr>
                <w:sz w:val="18"/>
                <w:szCs w:val="18"/>
              </w:rPr>
              <w:t>da yetersiz harcanması,</w:t>
            </w:r>
          </w:p>
          <w:p w:rsidR="00F84A27" w:rsidRDefault="00F84A27" w:rsidP="00DF43C0">
            <w:pPr>
              <w:ind w:right="-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2-Ödemelde sorumluluğun harcama yetkilisin ait olması,</w:t>
            </w:r>
          </w:p>
          <w:p w:rsidR="00F84A27" w:rsidRDefault="00F84A27" w:rsidP="00DF43C0">
            <w:pPr>
              <w:ind w:right="-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3-Zimmet Borcu çıkması.</w:t>
            </w:r>
          </w:p>
          <w:p w:rsidR="00F84A27" w:rsidRPr="00DF43C0" w:rsidRDefault="00F84A27" w:rsidP="00DF43C0">
            <w:pPr>
              <w:ind w:right="-290"/>
              <w:rPr>
                <w:sz w:val="18"/>
                <w:szCs w:val="18"/>
              </w:rPr>
            </w:pPr>
          </w:p>
          <w:p w:rsidR="00F84A27" w:rsidRPr="00DF43C0" w:rsidRDefault="00F84A27" w:rsidP="00DF43C0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DF43C0" w:rsidRDefault="00F84A27" w:rsidP="00DF43C0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F84A27" w:rsidRPr="00EF012D" w:rsidTr="004F0169">
        <w:trPr>
          <w:trHeight w:val="816"/>
        </w:trPr>
        <w:tc>
          <w:tcPr>
            <w:tcW w:w="2587" w:type="dxa"/>
            <w:vAlign w:val="center"/>
          </w:tcPr>
          <w:p w:rsidR="00F84A27" w:rsidRPr="00EF012D" w:rsidRDefault="00F84A27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6786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Yüksek</w:t>
            </w:r>
          </w:p>
        </w:tc>
      </w:tr>
      <w:tr w:rsidR="00F84A27" w:rsidRPr="00EF012D" w:rsidTr="004F0169">
        <w:trPr>
          <w:trHeight w:val="1032"/>
        </w:trPr>
        <w:tc>
          <w:tcPr>
            <w:tcW w:w="2587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6786" w:type="dxa"/>
            <w:vAlign w:val="center"/>
          </w:tcPr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DF43C0">
            <w:pPr>
              <w:ind w:right="-290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1-</w:t>
            </w:r>
            <w:r w:rsidRPr="00DF43C0">
              <w:rPr>
                <w:sz w:val="18"/>
                <w:szCs w:val="18"/>
              </w:rPr>
              <w:t xml:space="preserve">Birime tahsis edilen ödenek tutarında harcama yapılabilir (5018 </w:t>
            </w:r>
            <w:proofErr w:type="spellStart"/>
            <w:r w:rsidRPr="00DF43C0">
              <w:rPr>
                <w:sz w:val="18"/>
                <w:szCs w:val="18"/>
              </w:rPr>
              <w:t>s.k</w:t>
            </w:r>
            <w:proofErr w:type="spellEnd"/>
            <w:r w:rsidRPr="00DF43C0">
              <w:rPr>
                <w:sz w:val="18"/>
                <w:szCs w:val="18"/>
              </w:rPr>
              <w:t>. 31. m.), bütçe ilke ve esaslarına, kanun ve diğer mevzuata uygun olmasından, ödeneklerin etkili, ekonomik ve verimli kullanılmasından ve bu Kanun çerçevesinde yapmaları gereken diğer işlemlerden sorumludur</w:t>
            </w:r>
            <w:r>
              <w:rPr>
                <w:sz w:val="18"/>
                <w:szCs w:val="18"/>
              </w:rPr>
              <w:t>.</w:t>
            </w:r>
          </w:p>
          <w:p w:rsidR="00F84A27" w:rsidRDefault="00F84A27" w:rsidP="00DF43C0">
            <w:pPr>
              <w:ind w:right="-290"/>
              <w:rPr>
                <w:sz w:val="18"/>
                <w:szCs w:val="18"/>
              </w:rPr>
            </w:pPr>
            <w:r w:rsidRPr="00DF43C0">
              <w:rPr>
                <w:sz w:val="18"/>
                <w:szCs w:val="18"/>
              </w:rPr>
              <w:t xml:space="preserve"> </w:t>
            </w:r>
          </w:p>
          <w:p w:rsidR="00F84A27" w:rsidRPr="00DF43C0" w:rsidRDefault="00F84A27" w:rsidP="00DF43C0">
            <w:pPr>
              <w:ind w:right="-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Pr="00DF43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Bütçe Harcamalarının kanunlar çerçevesinde yapılmasına dikkat edilmeli,</w:t>
            </w:r>
          </w:p>
          <w:p w:rsidR="00F84A27" w:rsidRPr="00DF43C0" w:rsidRDefault="00F84A27" w:rsidP="00DF43C0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DF43C0">
              <w:rPr>
                <w:sz w:val="18"/>
                <w:szCs w:val="18"/>
              </w:rPr>
              <w:t xml:space="preserve"> </w:t>
            </w:r>
          </w:p>
          <w:p w:rsidR="00F84A27" w:rsidRPr="00DF43C0" w:rsidRDefault="00F84A27" w:rsidP="00DF43C0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4A27" w:rsidRPr="00EF012D" w:rsidTr="004F0169">
        <w:trPr>
          <w:trHeight w:val="787"/>
        </w:trPr>
        <w:tc>
          <w:tcPr>
            <w:tcW w:w="2587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6786" w:type="dxa"/>
            <w:vAlign w:val="center"/>
          </w:tcPr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D80DF3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Av. Melihe ŞEYHANLIOĞLU</w:t>
            </w:r>
          </w:p>
          <w:p w:rsidR="00F84A27" w:rsidRDefault="00F84A27" w:rsidP="00D80DF3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Daire Başkanı</w:t>
            </w: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F84A27" w:rsidRPr="006D0102" w:rsidRDefault="00F84A27" w:rsidP="00EE3A46">
      <w:pPr>
        <w:jc w:val="both"/>
      </w:pPr>
    </w:p>
    <w:p w:rsidR="00674AC5" w:rsidRDefault="00674AC5"/>
    <w:p w:rsidR="00F84A27" w:rsidRDefault="00F84A27"/>
    <w:p w:rsidR="00F84A27" w:rsidRDefault="00F84A27"/>
    <w:p w:rsidR="00F84A27" w:rsidRDefault="00F84A27"/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62"/>
        <w:gridCol w:w="874"/>
        <w:gridCol w:w="215"/>
        <w:gridCol w:w="1417"/>
        <w:gridCol w:w="1502"/>
        <w:gridCol w:w="1543"/>
        <w:gridCol w:w="676"/>
        <w:gridCol w:w="200"/>
        <w:gridCol w:w="810"/>
        <w:gridCol w:w="528"/>
      </w:tblGrid>
      <w:tr w:rsidR="00F84A27" w:rsidRPr="006D0102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Kütüphane ve Dokümantasyon Daire Başkanlığı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F84A27" w:rsidRPr="006D0102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F84A27" w:rsidRPr="006D0102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D326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4D326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4D326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4D326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A27" w:rsidRPr="006D0102" w:rsidRDefault="00F84A27" w:rsidP="004D326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</w:tr>
      <w:tr w:rsidR="00F84A27" w:rsidRPr="006D0102" w:rsidTr="004D3266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D326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D326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D326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D326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D326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D326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84A27" w:rsidRPr="006D0102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4D326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4D326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:rsidR="00F84A27" w:rsidRDefault="00F84A27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9312" w:type="dxa"/>
        <w:tblLayout w:type="fixed"/>
        <w:tblLook w:val="04A0" w:firstRow="1" w:lastRow="0" w:firstColumn="1" w:lastColumn="0" w:noHBand="0" w:noVBand="1"/>
      </w:tblPr>
      <w:tblGrid>
        <w:gridCol w:w="2570"/>
        <w:gridCol w:w="6742"/>
      </w:tblGrid>
      <w:tr w:rsidR="00F84A27" w:rsidRPr="00EF012D" w:rsidTr="004F0169">
        <w:trPr>
          <w:trHeight w:val="563"/>
        </w:trPr>
        <w:tc>
          <w:tcPr>
            <w:tcW w:w="2570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6742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Kütüphane ve Dokümantasyon Daire Başkanlığı</w:t>
            </w:r>
          </w:p>
        </w:tc>
      </w:tr>
      <w:tr w:rsidR="00F84A27" w:rsidRPr="00EF012D" w:rsidTr="004F0169">
        <w:trPr>
          <w:trHeight w:val="527"/>
        </w:trPr>
        <w:tc>
          <w:tcPr>
            <w:tcW w:w="2570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6742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Gerçekleştirme Görevlisi</w:t>
            </w:r>
          </w:p>
        </w:tc>
      </w:tr>
      <w:tr w:rsidR="00F84A27" w:rsidRPr="00EF012D" w:rsidTr="004F0169">
        <w:trPr>
          <w:trHeight w:val="344"/>
        </w:trPr>
        <w:tc>
          <w:tcPr>
            <w:tcW w:w="2570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6742" w:type="dxa"/>
            <w:vAlign w:val="center"/>
          </w:tcPr>
          <w:p w:rsidR="00F84A27" w:rsidRPr="00CD4856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CD4856">
              <w:rPr>
                <w:sz w:val="18"/>
                <w:szCs w:val="18"/>
              </w:rPr>
              <w:t>1- Harcama talimatı verilen mal veya hizmetin yaptırılmasından, ödeme yapılmasına kadar ki süreçlerde eksik/hatalı işlem, belgelendirme yapılması,</w:t>
            </w:r>
          </w:p>
        </w:tc>
      </w:tr>
      <w:tr w:rsidR="00F84A27" w:rsidRPr="00EF012D" w:rsidTr="004F0169">
        <w:trPr>
          <w:trHeight w:val="893"/>
        </w:trPr>
        <w:tc>
          <w:tcPr>
            <w:tcW w:w="2570" w:type="dxa"/>
            <w:vAlign w:val="center"/>
          </w:tcPr>
          <w:p w:rsidR="00F84A27" w:rsidRPr="00EF012D" w:rsidRDefault="00F84A27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6742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Yüksek</w:t>
            </w:r>
          </w:p>
        </w:tc>
      </w:tr>
      <w:tr w:rsidR="00F84A27" w:rsidRPr="00EF012D" w:rsidTr="004F0169">
        <w:trPr>
          <w:trHeight w:val="1129"/>
        </w:trPr>
        <w:tc>
          <w:tcPr>
            <w:tcW w:w="2570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6742" w:type="dxa"/>
            <w:vAlign w:val="center"/>
          </w:tcPr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CD4856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CD4856">
              <w:rPr>
                <w:sz w:val="18"/>
                <w:szCs w:val="18"/>
              </w:rPr>
              <w:t>1-Harcama talimatı üzerine; işin yaptırılması, mal veya hizmetin alınması, teslim almaya ilişkin işlemlerin yapılması, belgelendirilmesi ve ödeme için gerekli belgelerin hazırlanması görevler</w:t>
            </w:r>
            <w:r>
              <w:rPr>
                <w:sz w:val="18"/>
                <w:szCs w:val="18"/>
              </w:rPr>
              <w:t xml:space="preserve">ini yürütür. </w:t>
            </w: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4A27" w:rsidRPr="00EF012D" w:rsidTr="004F0169">
        <w:trPr>
          <w:trHeight w:val="861"/>
        </w:trPr>
        <w:tc>
          <w:tcPr>
            <w:tcW w:w="2570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6742" w:type="dxa"/>
            <w:vAlign w:val="center"/>
          </w:tcPr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A0F59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Av. Melihe ŞEYHANLIOĞLU</w:t>
            </w:r>
          </w:p>
          <w:p w:rsidR="00F84A27" w:rsidRDefault="00F84A27" w:rsidP="007A0F59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Daire Başkanı</w:t>
            </w: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F84A27" w:rsidRPr="006D0102" w:rsidRDefault="00F84A27" w:rsidP="00EE3A46">
      <w:pPr>
        <w:jc w:val="both"/>
      </w:pPr>
    </w:p>
    <w:p w:rsidR="00F84A27" w:rsidRDefault="00F84A27"/>
    <w:p w:rsidR="00F84A27" w:rsidRDefault="00F84A27"/>
    <w:p w:rsidR="00F84A27" w:rsidRDefault="00F84A27"/>
    <w:p w:rsidR="00F84A27" w:rsidRDefault="00F84A27"/>
    <w:p w:rsidR="00F84A27" w:rsidRDefault="00F84A27"/>
    <w:p w:rsidR="00F84A27" w:rsidRDefault="00F84A27"/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62"/>
        <w:gridCol w:w="874"/>
        <w:gridCol w:w="215"/>
        <w:gridCol w:w="1417"/>
        <w:gridCol w:w="1502"/>
        <w:gridCol w:w="1543"/>
        <w:gridCol w:w="676"/>
        <w:gridCol w:w="200"/>
        <w:gridCol w:w="810"/>
        <w:gridCol w:w="528"/>
      </w:tblGrid>
      <w:tr w:rsidR="00F84A27" w:rsidRPr="006D0102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Kütüphane ve Dokümantasyon Daire Başkanlığı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F84A27" w:rsidRPr="006D0102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F84A27" w:rsidRPr="006D0102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4F53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A27" w:rsidRPr="006D0102" w:rsidRDefault="00F84A27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</w:tr>
      <w:tr w:rsidR="00F84A27" w:rsidRPr="006D0102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84A27" w:rsidRPr="006D0102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:rsidR="00F84A27" w:rsidRDefault="00F84A27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9312" w:type="dxa"/>
        <w:tblLayout w:type="fixed"/>
        <w:tblLook w:val="04A0" w:firstRow="1" w:lastRow="0" w:firstColumn="1" w:lastColumn="0" w:noHBand="0" w:noVBand="1"/>
      </w:tblPr>
      <w:tblGrid>
        <w:gridCol w:w="2570"/>
        <w:gridCol w:w="6742"/>
      </w:tblGrid>
      <w:tr w:rsidR="00F84A27" w:rsidRPr="00EF012D" w:rsidTr="004F0169">
        <w:trPr>
          <w:trHeight w:val="531"/>
        </w:trPr>
        <w:tc>
          <w:tcPr>
            <w:tcW w:w="2570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6742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Kütüphane Hizmetleri Şube Müdürlüğü</w:t>
            </w:r>
          </w:p>
        </w:tc>
      </w:tr>
      <w:tr w:rsidR="00F84A27" w:rsidRPr="00EF012D" w:rsidTr="004F0169">
        <w:trPr>
          <w:trHeight w:val="497"/>
        </w:trPr>
        <w:tc>
          <w:tcPr>
            <w:tcW w:w="2570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6742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Kataloglama Birimi</w:t>
            </w:r>
          </w:p>
        </w:tc>
      </w:tr>
      <w:tr w:rsidR="00F84A27" w:rsidRPr="00EF012D" w:rsidTr="004F0169">
        <w:trPr>
          <w:trHeight w:val="324"/>
        </w:trPr>
        <w:tc>
          <w:tcPr>
            <w:tcW w:w="2570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6742" w:type="dxa"/>
            <w:vAlign w:val="center"/>
          </w:tcPr>
          <w:p w:rsidR="00F84A27" w:rsidRDefault="00F84A27" w:rsidP="007D6076">
            <w:pPr>
              <w:ind w:right="-290"/>
              <w:rPr>
                <w:sz w:val="18"/>
                <w:szCs w:val="18"/>
              </w:rPr>
            </w:pPr>
            <w:r w:rsidRPr="00D66B1A">
              <w:rPr>
                <w:sz w:val="18"/>
                <w:szCs w:val="18"/>
              </w:rPr>
              <w:t>1-Kütüphanedeki kaynakların hatalı kataloglama/sınıflama sonucu bulunamaması</w:t>
            </w:r>
            <w:r>
              <w:rPr>
                <w:sz w:val="18"/>
                <w:szCs w:val="18"/>
              </w:rPr>
              <w:t>.</w:t>
            </w:r>
          </w:p>
          <w:p w:rsidR="00F84A27" w:rsidRPr="00D66B1A" w:rsidRDefault="00F84A27" w:rsidP="007D6076">
            <w:pPr>
              <w:ind w:right="-290"/>
              <w:rPr>
                <w:sz w:val="18"/>
                <w:szCs w:val="18"/>
              </w:rPr>
            </w:pPr>
          </w:p>
          <w:p w:rsidR="00F84A27" w:rsidRDefault="00F84A27" w:rsidP="007D6076">
            <w:pPr>
              <w:ind w:right="-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Pr="00D66B1A">
              <w:rPr>
                <w:sz w:val="18"/>
                <w:szCs w:val="18"/>
              </w:rPr>
              <w:t>Çok eski, tozlu, küflenmiş vb. materyallerin kataloglaması esnasında cilt, solunum yolu, alerjik vb. hastalıklara yakalanılması.</w:t>
            </w:r>
          </w:p>
          <w:p w:rsidR="00F84A27" w:rsidRPr="00D66B1A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F84A27" w:rsidRPr="00EF012D" w:rsidTr="004F0169">
        <w:trPr>
          <w:trHeight w:val="842"/>
        </w:trPr>
        <w:tc>
          <w:tcPr>
            <w:tcW w:w="2570" w:type="dxa"/>
            <w:vAlign w:val="center"/>
          </w:tcPr>
          <w:p w:rsidR="00F84A27" w:rsidRPr="00EF012D" w:rsidRDefault="00F84A27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6742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Orta</w:t>
            </w:r>
          </w:p>
        </w:tc>
      </w:tr>
      <w:tr w:rsidR="00F84A27" w:rsidRPr="00EF012D" w:rsidTr="004F0169">
        <w:trPr>
          <w:trHeight w:val="1064"/>
        </w:trPr>
        <w:tc>
          <w:tcPr>
            <w:tcW w:w="2570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6742" w:type="dxa"/>
            <w:vAlign w:val="center"/>
          </w:tcPr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sz w:val="18"/>
                <w:szCs w:val="18"/>
              </w:rPr>
            </w:pPr>
            <w:r w:rsidRPr="00D66B1A">
              <w:rPr>
                <w:sz w:val="18"/>
                <w:szCs w:val="18"/>
              </w:rPr>
              <w:t>1-Materyallerin temizleme makinasıyla temizlenmesi.</w:t>
            </w:r>
          </w:p>
          <w:p w:rsidR="00F84A27" w:rsidRPr="00D66B1A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Kataloglamanın </w:t>
            </w:r>
            <w:proofErr w:type="spellStart"/>
            <w:r>
              <w:rPr>
                <w:sz w:val="18"/>
                <w:szCs w:val="18"/>
              </w:rPr>
              <w:t>Anglo</w:t>
            </w:r>
            <w:proofErr w:type="spellEnd"/>
            <w:r>
              <w:rPr>
                <w:sz w:val="18"/>
                <w:szCs w:val="18"/>
              </w:rPr>
              <w:t xml:space="preserve"> Amerikan sistemine göre yapılması.</w:t>
            </w: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4A27" w:rsidRPr="00EF012D" w:rsidTr="004F0169">
        <w:trPr>
          <w:trHeight w:val="812"/>
        </w:trPr>
        <w:tc>
          <w:tcPr>
            <w:tcW w:w="2570" w:type="dxa"/>
            <w:vAlign w:val="center"/>
          </w:tcPr>
          <w:p w:rsidR="00F84A27" w:rsidRPr="00EF012D" w:rsidRDefault="00F84A27" w:rsidP="00BD44C8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6742" w:type="dxa"/>
            <w:vAlign w:val="center"/>
          </w:tcPr>
          <w:p w:rsidR="00F84A27" w:rsidRDefault="00F84A27" w:rsidP="00BD44C8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BD44C8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BD44C8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Av. Melihe ŞEYHANLIOĞLU</w:t>
            </w:r>
          </w:p>
          <w:p w:rsidR="00F84A27" w:rsidRDefault="00F84A27" w:rsidP="00BD44C8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Daire Başkanı</w:t>
            </w:r>
          </w:p>
          <w:p w:rsidR="00F84A27" w:rsidRDefault="00F84A27" w:rsidP="00BD44C8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BD44C8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BD44C8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BD44C8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F84A27" w:rsidRPr="006D0102" w:rsidRDefault="00F84A27" w:rsidP="00EE3A46">
      <w:pPr>
        <w:jc w:val="both"/>
      </w:pPr>
    </w:p>
    <w:p w:rsidR="00F84A27" w:rsidRDefault="00F84A27"/>
    <w:p w:rsidR="00F84A27" w:rsidRDefault="00F84A27"/>
    <w:p w:rsidR="00F84A27" w:rsidRDefault="00F84A27"/>
    <w:p w:rsidR="00F84A27" w:rsidRDefault="00F84A27"/>
    <w:p w:rsidR="00F84A27" w:rsidRDefault="00F84A27"/>
    <w:p w:rsidR="00F84A27" w:rsidRDefault="00F84A27"/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62"/>
        <w:gridCol w:w="874"/>
        <w:gridCol w:w="215"/>
        <w:gridCol w:w="1417"/>
        <w:gridCol w:w="1502"/>
        <w:gridCol w:w="1543"/>
        <w:gridCol w:w="676"/>
        <w:gridCol w:w="200"/>
        <w:gridCol w:w="810"/>
        <w:gridCol w:w="528"/>
      </w:tblGrid>
      <w:tr w:rsidR="00F84A27" w:rsidRPr="006D0102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Kütüphane ve Dokümantasyon Daire Başkanlığı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F84A27" w:rsidRPr="006D0102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F84A27" w:rsidRPr="006D0102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5743CD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5743C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5743C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5743C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A27" w:rsidRPr="006D0102" w:rsidRDefault="00F84A27" w:rsidP="005743CD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</w:tr>
      <w:tr w:rsidR="00F84A27" w:rsidRPr="006D0102" w:rsidTr="005743C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5743CD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5743C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5743C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5743C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5743C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5743C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84A27" w:rsidRPr="006D0102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5743CD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5743C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:rsidR="00F84A27" w:rsidRDefault="00F84A27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9357" w:type="dxa"/>
        <w:tblLayout w:type="fixed"/>
        <w:tblLook w:val="04A0" w:firstRow="1" w:lastRow="0" w:firstColumn="1" w:lastColumn="0" w:noHBand="0" w:noVBand="1"/>
      </w:tblPr>
      <w:tblGrid>
        <w:gridCol w:w="2582"/>
        <w:gridCol w:w="6775"/>
      </w:tblGrid>
      <w:tr w:rsidR="00F84A27" w:rsidRPr="00EF012D" w:rsidTr="004F0169">
        <w:trPr>
          <w:trHeight w:val="527"/>
        </w:trPr>
        <w:tc>
          <w:tcPr>
            <w:tcW w:w="2582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6775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Kütüphane Hizmetleri Şube Müdürlüğü</w:t>
            </w:r>
          </w:p>
        </w:tc>
      </w:tr>
      <w:tr w:rsidR="00F84A27" w:rsidRPr="00EF012D" w:rsidTr="004F0169">
        <w:trPr>
          <w:trHeight w:val="493"/>
        </w:trPr>
        <w:tc>
          <w:tcPr>
            <w:tcW w:w="2582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6775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Bilişim Hizmetleri Birimi</w:t>
            </w:r>
          </w:p>
        </w:tc>
      </w:tr>
      <w:tr w:rsidR="00F84A27" w:rsidRPr="00EF012D" w:rsidTr="004F0169">
        <w:trPr>
          <w:trHeight w:val="322"/>
        </w:trPr>
        <w:tc>
          <w:tcPr>
            <w:tcW w:w="2582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6775" w:type="dxa"/>
            <w:vAlign w:val="center"/>
          </w:tcPr>
          <w:p w:rsidR="00F84A27" w:rsidRPr="00E102A8" w:rsidRDefault="00F84A27" w:rsidP="00E102A8">
            <w:pPr>
              <w:ind w:right="-290"/>
              <w:rPr>
                <w:sz w:val="18"/>
                <w:szCs w:val="18"/>
              </w:rPr>
            </w:pPr>
            <w:r w:rsidRPr="00E102A8">
              <w:rPr>
                <w:sz w:val="18"/>
                <w:szCs w:val="18"/>
              </w:rPr>
              <w:t xml:space="preserve">1-Kütüphane otomasyonu ve kütüphane güvenlik ve takip sisteminin çalışmaması sonucu ödünç/iade işlemlerinin sağlıklı yapılamaması ve materyal güvenliğinin sağlanamaması, </w:t>
            </w:r>
          </w:p>
          <w:p w:rsidR="00F84A27" w:rsidRPr="00E102A8" w:rsidRDefault="00F84A27" w:rsidP="00E102A8">
            <w:pPr>
              <w:ind w:right="-290"/>
              <w:rPr>
                <w:sz w:val="18"/>
                <w:szCs w:val="18"/>
              </w:rPr>
            </w:pPr>
          </w:p>
          <w:p w:rsidR="00F84A27" w:rsidRDefault="00F84A27" w:rsidP="00E102A8">
            <w:pPr>
              <w:ind w:right="-290"/>
              <w:rPr>
                <w:sz w:val="18"/>
                <w:szCs w:val="18"/>
              </w:rPr>
            </w:pPr>
            <w:r w:rsidRPr="00E102A8">
              <w:rPr>
                <w:sz w:val="18"/>
                <w:szCs w:val="18"/>
              </w:rPr>
              <w:t>2-Kütüphane web sayfasının güncel olmaması dolayısıyla elektronik kaynakların</w:t>
            </w:r>
          </w:p>
          <w:p w:rsidR="00F84A27" w:rsidRPr="00E102A8" w:rsidRDefault="00F84A27" w:rsidP="00E102A8">
            <w:pPr>
              <w:ind w:right="-290"/>
              <w:rPr>
                <w:sz w:val="18"/>
                <w:szCs w:val="18"/>
              </w:rPr>
            </w:pPr>
            <w:r w:rsidRPr="00E102A8">
              <w:rPr>
                <w:sz w:val="18"/>
                <w:szCs w:val="18"/>
              </w:rPr>
              <w:t xml:space="preserve"> Kullanılamaması,</w:t>
            </w:r>
          </w:p>
        </w:tc>
      </w:tr>
      <w:tr w:rsidR="00F84A27" w:rsidRPr="00EF012D" w:rsidTr="004F0169">
        <w:trPr>
          <w:trHeight w:val="836"/>
        </w:trPr>
        <w:tc>
          <w:tcPr>
            <w:tcW w:w="2582" w:type="dxa"/>
            <w:vAlign w:val="center"/>
          </w:tcPr>
          <w:p w:rsidR="00F84A27" w:rsidRPr="00EF012D" w:rsidRDefault="00F84A27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6775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Orta</w:t>
            </w:r>
          </w:p>
        </w:tc>
      </w:tr>
      <w:tr w:rsidR="00F84A27" w:rsidRPr="00EF012D" w:rsidTr="004F0169">
        <w:trPr>
          <w:trHeight w:val="1057"/>
        </w:trPr>
        <w:tc>
          <w:tcPr>
            <w:tcW w:w="2582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6775" w:type="dxa"/>
            <w:vAlign w:val="center"/>
          </w:tcPr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102A8" w:rsidRDefault="00F84A27" w:rsidP="00E102A8">
            <w:pPr>
              <w:ind w:right="-290"/>
              <w:rPr>
                <w:sz w:val="18"/>
                <w:szCs w:val="18"/>
              </w:rPr>
            </w:pPr>
            <w:r w:rsidRPr="00E102A8">
              <w:rPr>
                <w:sz w:val="18"/>
                <w:szCs w:val="18"/>
              </w:rPr>
              <w:t>1-Kütüphane otomasyon ve güvenlik takip sisteminin bakım ve güncellemelerini yapmak ve ya yaptırmak.</w:t>
            </w:r>
          </w:p>
          <w:p w:rsidR="00F84A27" w:rsidRPr="00E102A8" w:rsidRDefault="00F84A27" w:rsidP="00E102A8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E102A8">
              <w:rPr>
                <w:sz w:val="18"/>
                <w:szCs w:val="18"/>
              </w:rPr>
              <w:t>2- Kütüphanenin abone olduğu elektronik kaynaklarla ilgili her türlü içerik bilgilerini ve erişim linklerini sağlayıp, web sayfası aracılığıyla kullanıcıların bilgilendirilmesini sağlamak.</w:t>
            </w: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4A27" w:rsidRPr="00EF012D" w:rsidTr="004F0169">
        <w:trPr>
          <w:trHeight w:val="806"/>
        </w:trPr>
        <w:tc>
          <w:tcPr>
            <w:tcW w:w="2582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6775" w:type="dxa"/>
            <w:vAlign w:val="center"/>
          </w:tcPr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E102A8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Av. Melihe ŞEYHANLIOĞLU</w:t>
            </w:r>
          </w:p>
          <w:p w:rsidR="00F84A27" w:rsidRDefault="00F84A27" w:rsidP="00E102A8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Daire Başkanı</w:t>
            </w: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F84A27" w:rsidRPr="006D0102" w:rsidRDefault="00F84A27" w:rsidP="00EE3A46">
      <w:pPr>
        <w:jc w:val="both"/>
      </w:pPr>
    </w:p>
    <w:p w:rsidR="00F84A27" w:rsidRDefault="00F84A27"/>
    <w:p w:rsidR="00F84A27" w:rsidRDefault="00F84A27"/>
    <w:p w:rsidR="00F84A27" w:rsidRDefault="00F84A27"/>
    <w:p w:rsidR="00F84A27" w:rsidRDefault="00F84A27"/>
    <w:p w:rsidR="00F84A27" w:rsidRDefault="00F84A27"/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62"/>
        <w:gridCol w:w="874"/>
        <w:gridCol w:w="215"/>
        <w:gridCol w:w="1417"/>
        <w:gridCol w:w="1502"/>
        <w:gridCol w:w="1543"/>
        <w:gridCol w:w="676"/>
        <w:gridCol w:w="200"/>
        <w:gridCol w:w="810"/>
        <w:gridCol w:w="528"/>
      </w:tblGrid>
      <w:tr w:rsidR="00F84A27" w:rsidRPr="006D0102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4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Kütüphane ve Dokümantasyon Daire Başkanlığı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F84A27" w:rsidRPr="006D0102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F84A27" w:rsidRPr="006D0102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A27" w:rsidRPr="006D0102" w:rsidRDefault="00F84A27" w:rsidP="00343B85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</w:tr>
      <w:tr w:rsidR="00F84A27" w:rsidRPr="006D0102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84A27" w:rsidRPr="006D0102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:rsidR="00F84A27" w:rsidRDefault="00F84A27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9462" w:type="dxa"/>
        <w:tblLayout w:type="fixed"/>
        <w:tblLook w:val="04A0" w:firstRow="1" w:lastRow="0" w:firstColumn="1" w:lastColumn="0" w:noHBand="0" w:noVBand="1"/>
      </w:tblPr>
      <w:tblGrid>
        <w:gridCol w:w="2611"/>
        <w:gridCol w:w="6851"/>
      </w:tblGrid>
      <w:tr w:rsidR="00F84A27" w:rsidRPr="00EF012D" w:rsidTr="004F0169">
        <w:trPr>
          <w:trHeight w:val="527"/>
        </w:trPr>
        <w:tc>
          <w:tcPr>
            <w:tcW w:w="261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685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Kütüphane Hizmetleri Müdürlüğü</w:t>
            </w:r>
          </w:p>
        </w:tc>
      </w:tr>
      <w:tr w:rsidR="00F84A27" w:rsidRPr="00EF012D" w:rsidTr="004F0169">
        <w:trPr>
          <w:trHeight w:val="493"/>
        </w:trPr>
        <w:tc>
          <w:tcPr>
            <w:tcW w:w="261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685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E- Kaynaklar</w:t>
            </w:r>
          </w:p>
        </w:tc>
      </w:tr>
      <w:tr w:rsidR="00F84A27" w:rsidRPr="00EF012D" w:rsidTr="004F0169">
        <w:trPr>
          <w:trHeight w:val="1626"/>
        </w:trPr>
        <w:tc>
          <w:tcPr>
            <w:tcW w:w="261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6851" w:type="dxa"/>
            <w:vAlign w:val="center"/>
          </w:tcPr>
          <w:p w:rsidR="00F84A27" w:rsidRPr="00445851" w:rsidRDefault="00F84A27" w:rsidP="008E3E3F">
            <w:pPr>
              <w:ind w:right="-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 w:rsidRPr="008E3E3F">
              <w:rPr>
                <w:sz w:val="18"/>
                <w:szCs w:val="18"/>
              </w:rPr>
              <w:t xml:space="preserve">Elektronik kaynakların satın alınma karar sürecinde doğru seçim ve değerlendirme yapılamaması </w:t>
            </w:r>
          </w:p>
          <w:p w:rsidR="00F84A27" w:rsidRPr="008E3E3F" w:rsidRDefault="00F84A27" w:rsidP="008E3E3F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Pr="008E3E3F">
              <w:rPr>
                <w:sz w:val="18"/>
                <w:szCs w:val="18"/>
              </w:rPr>
              <w:t xml:space="preserve">Elektronik kaynaklara erişim sağlanamaması, </w:t>
            </w:r>
          </w:p>
          <w:p w:rsidR="00F84A27" w:rsidRPr="008E3E3F" w:rsidRDefault="00F84A27" w:rsidP="008E3E3F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Pr="008E3E3F">
              <w:rPr>
                <w:sz w:val="18"/>
                <w:szCs w:val="18"/>
              </w:rPr>
              <w:t xml:space="preserve">Elektronik kaynakların satın alınma ve ödeme işlemlerinin gecikmesi, </w:t>
            </w:r>
          </w:p>
          <w:p w:rsidR="00F84A27" w:rsidRPr="008E3E3F" w:rsidRDefault="00F84A27" w:rsidP="008E3E3F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F84A27" w:rsidRPr="00EF012D" w:rsidTr="004F0169">
        <w:trPr>
          <w:trHeight w:val="837"/>
        </w:trPr>
        <w:tc>
          <w:tcPr>
            <w:tcW w:w="2611" w:type="dxa"/>
            <w:vAlign w:val="center"/>
          </w:tcPr>
          <w:p w:rsidR="00F84A27" w:rsidRPr="00EF012D" w:rsidRDefault="00F84A27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685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Orta</w:t>
            </w:r>
          </w:p>
        </w:tc>
      </w:tr>
      <w:tr w:rsidR="00F84A27" w:rsidRPr="00EF012D" w:rsidTr="004F0169">
        <w:trPr>
          <w:trHeight w:val="1058"/>
        </w:trPr>
        <w:tc>
          <w:tcPr>
            <w:tcW w:w="261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6851" w:type="dxa"/>
            <w:vAlign w:val="center"/>
          </w:tcPr>
          <w:p w:rsidR="00F84A27" w:rsidRPr="00A96DD9" w:rsidRDefault="00F84A27" w:rsidP="00A96DD9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 w:rsidRPr="00A96DD9">
              <w:rPr>
                <w:sz w:val="18"/>
                <w:szCs w:val="18"/>
              </w:rPr>
              <w:t>Talepler ve istatistikler doğrultusunda, abone olunacak veri tabanlarının listesi oluşturmak ve kütüphane yönetimine sunmak ve düzenli olarak kullanım istatistiklerini almak,</w:t>
            </w:r>
          </w:p>
          <w:p w:rsidR="00F84A27" w:rsidRPr="00A96DD9" w:rsidRDefault="00F84A27" w:rsidP="00A96DD9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Pr="00A96DD9">
              <w:rPr>
                <w:sz w:val="18"/>
                <w:szCs w:val="18"/>
              </w:rPr>
              <w:t>Elektronik kaynak erişimlerini düzenli olarak kontrol etmek ve sorunları muhataplara bildirmek.</w:t>
            </w:r>
          </w:p>
          <w:p w:rsidR="00F84A27" w:rsidRPr="00A96DD9" w:rsidRDefault="00F84A27" w:rsidP="00A96DD9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Pr="00A96DD9">
              <w:rPr>
                <w:sz w:val="18"/>
                <w:szCs w:val="18"/>
              </w:rPr>
              <w:t>Ödemeler konusunda gerekli bilgi ve belgeleri Satın Alma Birimine vermek.</w:t>
            </w:r>
          </w:p>
          <w:p w:rsidR="00F84A27" w:rsidRPr="00A96DD9" w:rsidRDefault="00F84A27" w:rsidP="00A96DD9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4A27" w:rsidRPr="00EF012D" w:rsidTr="004F0169">
        <w:trPr>
          <w:trHeight w:val="807"/>
        </w:trPr>
        <w:tc>
          <w:tcPr>
            <w:tcW w:w="261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6851" w:type="dxa"/>
            <w:vAlign w:val="center"/>
          </w:tcPr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2977CC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Av. Melihe ŞEYHANLIOĞLU</w:t>
            </w:r>
          </w:p>
          <w:p w:rsidR="00F84A27" w:rsidRDefault="00F84A27" w:rsidP="002977CC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Daire Başkanı</w:t>
            </w: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F84A27" w:rsidRPr="006D0102" w:rsidRDefault="00F84A27" w:rsidP="00EE3A46">
      <w:pPr>
        <w:jc w:val="both"/>
      </w:pPr>
    </w:p>
    <w:p w:rsidR="00F84A27" w:rsidRDefault="00F84A27"/>
    <w:p w:rsidR="00F84A27" w:rsidRDefault="00F84A27"/>
    <w:p w:rsidR="00F84A27" w:rsidRDefault="00F84A27"/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62"/>
        <w:gridCol w:w="874"/>
        <w:gridCol w:w="215"/>
        <w:gridCol w:w="1417"/>
        <w:gridCol w:w="1502"/>
        <w:gridCol w:w="1543"/>
        <w:gridCol w:w="676"/>
        <w:gridCol w:w="200"/>
        <w:gridCol w:w="810"/>
        <w:gridCol w:w="528"/>
      </w:tblGrid>
      <w:tr w:rsidR="00F84A27" w:rsidRPr="006D0102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5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Kütüphane ve Dokümantasyon Daire Başkanlığı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F84A27" w:rsidRPr="006D0102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F84A27" w:rsidRPr="006D0102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B9317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B9317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B9317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B9317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A27" w:rsidRPr="006D0102" w:rsidRDefault="00F84A27" w:rsidP="00B9317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</w:tr>
      <w:tr w:rsidR="00F84A27" w:rsidRPr="006D0102" w:rsidTr="00B9317A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B9317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B9317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B9317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B9317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B9317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B9317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84A27" w:rsidRPr="006D0102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B9317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B9317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:rsidR="00F84A27" w:rsidRDefault="00F84A27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9327" w:type="dxa"/>
        <w:tblLayout w:type="fixed"/>
        <w:tblLook w:val="04A0" w:firstRow="1" w:lastRow="0" w:firstColumn="1" w:lastColumn="0" w:noHBand="0" w:noVBand="1"/>
      </w:tblPr>
      <w:tblGrid>
        <w:gridCol w:w="2574"/>
        <w:gridCol w:w="6753"/>
      </w:tblGrid>
      <w:tr w:rsidR="00F84A27" w:rsidRPr="00EF012D" w:rsidTr="004F0169">
        <w:trPr>
          <w:trHeight w:val="540"/>
        </w:trPr>
        <w:tc>
          <w:tcPr>
            <w:tcW w:w="2574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6753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Kütüphane Hizmetleri Şube Müdürlüğü</w:t>
            </w:r>
          </w:p>
        </w:tc>
      </w:tr>
      <w:tr w:rsidR="00F84A27" w:rsidRPr="00EF012D" w:rsidTr="004F0169">
        <w:trPr>
          <w:trHeight w:val="506"/>
        </w:trPr>
        <w:tc>
          <w:tcPr>
            <w:tcW w:w="2574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6753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Ödünç Verme ve İlişik Kesme Birimi</w:t>
            </w:r>
          </w:p>
        </w:tc>
      </w:tr>
      <w:tr w:rsidR="00F84A27" w:rsidRPr="00EF012D" w:rsidTr="004F0169">
        <w:trPr>
          <w:trHeight w:val="330"/>
        </w:trPr>
        <w:tc>
          <w:tcPr>
            <w:tcW w:w="2574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6753" w:type="dxa"/>
            <w:vAlign w:val="center"/>
          </w:tcPr>
          <w:p w:rsidR="00F84A27" w:rsidRPr="00ED6025" w:rsidRDefault="00F84A27" w:rsidP="00ED6025">
            <w:pPr>
              <w:ind w:right="-290"/>
              <w:rPr>
                <w:sz w:val="18"/>
                <w:szCs w:val="18"/>
              </w:rPr>
            </w:pPr>
            <w:r w:rsidRPr="00ED6025">
              <w:rPr>
                <w:sz w:val="18"/>
                <w:szCs w:val="18"/>
              </w:rPr>
              <w:t xml:space="preserve">1-Ödünç veya iade işleminin hatalı yapılması sonucu kullanıcının mağdur olması, </w:t>
            </w:r>
          </w:p>
          <w:p w:rsidR="00F84A27" w:rsidRPr="00ED6025" w:rsidRDefault="00F84A27" w:rsidP="00ED6025">
            <w:pPr>
              <w:ind w:right="-290"/>
              <w:rPr>
                <w:sz w:val="18"/>
                <w:szCs w:val="18"/>
              </w:rPr>
            </w:pPr>
            <w:r w:rsidRPr="00ED6025">
              <w:rPr>
                <w:sz w:val="18"/>
                <w:szCs w:val="18"/>
              </w:rPr>
              <w:t>2-İade alınan materyalin sağlam olup olmadığı kontrol edilmeden alınması sonucu, başka bir kullanıcı tarafından ödünç alındığında materyalin o kullanıcın iadesi sırasında sorumlu duruma düşmesine neden olması ve de maddi zararın ortaya çıkması</w:t>
            </w:r>
          </w:p>
          <w:p w:rsidR="00F84A27" w:rsidRPr="00ED6025" w:rsidRDefault="00F84A27" w:rsidP="00ED602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D6025">
              <w:rPr>
                <w:sz w:val="18"/>
                <w:szCs w:val="18"/>
              </w:rPr>
              <w:t>3- Kullanıcının üzerinde gecikme cezası, materyal varken ilişik kesilmesi,</w:t>
            </w:r>
          </w:p>
        </w:tc>
      </w:tr>
      <w:tr w:rsidR="00F84A27" w:rsidRPr="00EF012D" w:rsidTr="004F0169">
        <w:trPr>
          <w:trHeight w:val="858"/>
        </w:trPr>
        <w:tc>
          <w:tcPr>
            <w:tcW w:w="2574" w:type="dxa"/>
            <w:vAlign w:val="center"/>
          </w:tcPr>
          <w:p w:rsidR="00F84A27" w:rsidRPr="00EF012D" w:rsidRDefault="00F84A27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6753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Yüksek</w:t>
            </w:r>
          </w:p>
        </w:tc>
      </w:tr>
      <w:tr w:rsidR="00F84A27" w:rsidRPr="00EF012D" w:rsidTr="004F0169">
        <w:trPr>
          <w:trHeight w:val="1084"/>
        </w:trPr>
        <w:tc>
          <w:tcPr>
            <w:tcW w:w="2574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6753" w:type="dxa"/>
            <w:vAlign w:val="center"/>
          </w:tcPr>
          <w:p w:rsidR="00F84A27" w:rsidRPr="00ED6025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ED6025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ED6025" w:rsidRDefault="00F84A27" w:rsidP="00ED6025">
            <w:pPr>
              <w:ind w:right="-290"/>
              <w:rPr>
                <w:sz w:val="18"/>
                <w:szCs w:val="18"/>
              </w:rPr>
            </w:pPr>
            <w:r w:rsidRPr="00ED6025">
              <w:rPr>
                <w:sz w:val="18"/>
                <w:szCs w:val="18"/>
              </w:rPr>
              <w:t xml:space="preserve">1-Ödünç ve iade işlemlerinin kütüphane otomasyon üzerinden kontrollü biçimde yapılması, </w:t>
            </w:r>
          </w:p>
          <w:p w:rsidR="00F84A27" w:rsidRPr="00ED6025" w:rsidRDefault="00F84A27" w:rsidP="00ED6025">
            <w:pPr>
              <w:ind w:right="-290"/>
              <w:rPr>
                <w:sz w:val="18"/>
                <w:szCs w:val="18"/>
              </w:rPr>
            </w:pPr>
            <w:r w:rsidRPr="00ED6025">
              <w:rPr>
                <w:sz w:val="18"/>
                <w:szCs w:val="18"/>
              </w:rPr>
              <w:t>2- İade alınan materyalim kontrollerinin yapılması</w:t>
            </w:r>
          </w:p>
          <w:p w:rsidR="00F84A27" w:rsidRPr="00ED6025" w:rsidRDefault="00F84A27" w:rsidP="00ED6025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ED6025">
              <w:rPr>
                <w:sz w:val="18"/>
                <w:szCs w:val="18"/>
              </w:rPr>
              <w:t>3-İlişik kesme işleminin kütüphane otomasyonunda kullanıcı üzerinde materyal ya da gecikme cezası olup olmadığı kontrol edilerek yapılması.</w:t>
            </w:r>
          </w:p>
          <w:p w:rsidR="00F84A27" w:rsidRPr="00ED6025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ED6025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ED6025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ED6025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ED6025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ED6025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ED6025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ED6025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F84A27" w:rsidRPr="00EF012D" w:rsidTr="004F0169">
        <w:trPr>
          <w:trHeight w:val="827"/>
        </w:trPr>
        <w:tc>
          <w:tcPr>
            <w:tcW w:w="2574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6753" w:type="dxa"/>
            <w:vAlign w:val="center"/>
          </w:tcPr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23331C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Av. Melihe ŞEYHANLIOĞLU</w:t>
            </w: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Daire Başkanı</w:t>
            </w:r>
          </w:p>
        </w:tc>
      </w:tr>
    </w:tbl>
    <w:p w:rsidR="00F84A27" w:rsidRPr="006D0102" w:rsidRDefault="00F84A27" w:rsidP="00EE3A46">
      <w:pPr>
        <w:jc w:val="both"/>
      </w:pPr>
    </w:p>
    <w:p w:rsidR="00F84A27" w:rsidRDefault="00F84A27"/>
    <w:p w:rsidR="00F84A27" w:rsidRDefault="00F84A27"/>
    <w:p w:rsidR="00F84A27" w:rsidRDefault="00F84A27"/>
    <w:p w:rsidR="00F84A27" w:rsidRDefault="00F84A27"/>
    <w:p w:rsidR="00F84A27" w:rsidRDefault="00F84A27"/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62"/>
        <w:gridCol w:w="874"/>
        <w:gridCol w:w="215"/>
        <w:gridCol w:w="1417"/>
        <w:gridCol w:w="1502"/>
        <w:gridCol w:w="1543"/>
        <w:gridCol w:w="676"/>
        <w:gridCol w:w="200"/>
        <w:gridCol w:w="810"/>
        <w:gridCol w:w="528"/>
      </w:tblGrid>
      <w:tr w:rsidR="00F84A27" w:rsidRPr="006D0102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6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Kütüphane ve Dokümantasyon Daire Başkanlığı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F84A27" w:rsidRPr="006D0102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F84A27" w:rsidRPr="006D0102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A27" w:rsidRPr="006D0102" w:rsidRDefault="00F84A27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</w:tr>
      <w:tr w:rsidR="00F84A27" w:rsidRPr="006D0102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84A27" w:rsidRPr="006D0102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:rsidR="00F84A27" w:rsidRDefault="00F84A27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9342" w:type="dxa"/>
        <w:tblLayout w:type="fixed"/>
        <w:tblLook w:val="04A0" w:firstRow="1" w:lastRow="0" w:firstColumn="1" w:lastColumn="0" w:noHBand="0" w:noVBand="1"/>
      </w:tblPr>
      <w:tblGrid>
        <w:gridCol w:w="2578"/>
        <w:gridCol w:w="6764"/>
      </w:tblGrid>
      <w:tr w:rsidR="00F84A27" w:rsidRPr="00EF012D" w:rsidTr="004F0169">
        <w:trPr>
          <w:trHeight w:val="502"/>
        </w:trPr>
        <w:tc>
          <w:tcPr>
            <w:tcW w:w="2578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6764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Kütüphane Yazı İşleri Şube Müdürlüğü</w:t>
            </w:r>
          </w:p>
        </w:tc>
      </w:tr>
      <w:tr w:rsidR="00F84A27" w:rsidRPr="00EF012D" w:rsidTr="004F0169">
        <w:trPr>
          <w:trHeight w:val="470"/>
        </w:trPr>
        <w:tc>
          <w:tcPr>
            <w:tcW w:w="2578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6764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Taşınır Kayıt Yetkilisi</w:t>
            </w:r>
          </w:p>
        </w:tc>
      </w:tr>
      <w:tr w:rsidR="00F84A27" w:rsidRPr="00EF012D" w:rsidTr="004F0169">
        <w:trPr>
          <w:trHeight w:val="307"/>
        </w:trPr>
        <w:tc>
          <w:tcPr>
            <w:tcW w:w="2578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6764" w:type="dxa"/>
            <w:vAlign w:val="center"/>
          </w:tcPr>
          <w:p w:rsidR="00F84A27" w:rsidRPr="00EE24F9" w:rsidRDefault="00F84A27" w:rsidP="007D6076">
            <w:pPr>
              <w:ind w:right="-290"/>
              <w:rPr>
                <w:sz w:val="18"/>
                <w:szCs w:val="18"/>
              </w:rPr>
            </w:pPr>
          </w:p>
          <w:p w:rsidR="00F84A27" w:rsidRPr="00EE24F9" w:rsidRDefault="00F84A27" w:rsidP="00EE24F9">
            <w:pPr>
              <w:ind w:right="-290"/>
              <w:rPr>
                <w:sz w:val="18"/>
                <w:szCs w:val="18"/>
              </w:rPr>
            </w:pPr>
            <w:r w:rsidRPr="00EE24F9">
              <w:rPr>
                <w:sz w:val="18"/>
                <w:szCs w:val="18"/>
              </w:rPr>
              <w:t xml:space="preserve">1-Ambar ile </w:t>
            </w:r>
            <w:proofErr w:type="spellStart"/>
            <w:r w:rsidRPr="00EE24F9">
              <w:rPr>
                <w:sz w:val="18"/>
                <w:szCs w:val="18"/>
              </w:rPr>
              <w:t>TKYS'de</w:t>
            </w:r>
            <w:proofErr w:type="spellEnd"/>
            <w:r w:rsidRPr="00EE24F9">
              <w:rPr>
                <w:sz w:val="18"/>
                <w:szCs w:val="18"/>
              </w:rPr>
              <w:t xml:space="preserve"> kayıtların birbiri ile örtüşmemesi, İhtiyaç duyulan mal veya hizmet satın almanın yapılmaması/gecikmesi (Koleksiyon Yönetimi ve Güvenlik Sistemi'nin çalışmaması, materyal </w:t>
            </w:r>
            <w:proofErr w:type="gramStart"/>
            <w:r w:rsidRPr="00EE24F9">
              <w:rPr>
                <w:sz w:val="18"/>
                <w:szCs w:val="18"/>
              </w:rPr>
              <w:t>çipi</w:t>
            </w:r>
            <w:proofErr w:type="gramEnd"/>
            <w:r w:rsidRPr="00EE24F9">
              <w:rPr>
                <w:sz w:val="18"/>
                <w:szCs w:val="18"/>
              </w:rPr>
              <w:t xml:space="preserve"> alınmaması, temizlik/dezenfektan malzemelerinin bitmesi) sebebiyle birim sorumluluğunda olan hizmetlerinin aksaması. </w:t>
            </w:r>
          </w:p>
          <w:p w:rsidR="00F84A27" w:rsidRPr="00EE24F9" w:rsidRDefault="00F84A27" w:rsidP="00EE24F9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EE24F9">
              <w:rPr>
                <w:sz w:val="18"/>
                <w:szCs w:val="18"/>
              </w:rPr>
              <w:t xml:space="preserve">2-İhale ve satın alım işlemlerinde tutulan evrakların arşivlenmesini yapmak, </w:t>
            </w:r>
          </w:p>
          <w:p w:rsidR="00F84A27" w:rsidRPr="00EE24F9" w:rsidRDefault="00F84A27" w:rsidP="00EE24F9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EE24F9">
              <w:rPr>
                <w:sz w:val="18"/>
                <w:szCs w:val="18"/>
              </w:rPr>
              <w:t xml:space="preserve">3-İhale ve satın alma işlemlerinin kanun ve yönetmeliklere uygun bir şekilde yapılmasını sağlamak, </w:t>
            </w:r>
          </w:p>
          <w:p w:rsidR="00F84A27" w:rsidRPr="00EE24F9" w:rsidRDefault="00F84A27" w:rsidP="00EE24F9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F84A27" w:rsidRPr="00EF012D" w:rsidTr="004F0169">
        <w:trPr>
          <w:trHeight w:val="797"/>
        </w:trPr>
        <w:tc>
          <w:tcPr>
            <w:tcW w:w="2578" w:type="dxa"/>
            <w:vAlign w:val="center"/>
          </w:tcPr>
          <w:p w:rsidR="00F84A27" w:rsidRPr="00EF012D" w:rsidRDefault="00F84A27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6764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Yüksek</w:t>
            </w:r>
          </w:p>
        </w:tc>
      </w:tr>
      <w:tr w:rsidR="00F84A27" w:rsidRPr="00EF012D" w:rsidTr="004F0169">
        <w:trPr>
          <w:trHeight w:val="1008"/>
        </w:trPr>
        <w:tc>
          <w:tcPr>
            <w:tcW w:w="2578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6764" w:type="dxa"/>
            <w:vAlign w:val="center"/>
          </w:tcPr>
          <w:p w:rsidR="00F84A27" w:rsidRPr="00EE24F9" w:rsidRDefault="00F84A27" w:rsidP="00EE24F9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EE24F9">
              <w:rPr>
                <w:sz w:val="18"/>
                <w:szCs w:val="18"/>
              </w:rPr>
              <w:t>1-Taşınır giriş ve çıkış işlemlerini zamanında yapmak, ambarda oluşan olağanüstü durumları harcama yetkilisine bildirmek.</w:t>
            </w:r>
          </w:p>
          <w:p w:rsidR="00F84A27" w:rsidRPr="00EE24F9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EE24F9" w:rsidRDefault="00F84A27" w:rsidP="007D6076">
            <w:pPr>
              <w:ind w:right="-290"/>
              <w:rPr>
                <w:sz w:val="18"/>
                <w:szCs w:val="18"/>
              </w:rPr>
            </w:pPr>
            <w:r w:rsidRPr="00EE24F9">
              <w:rPr>
                <w:sz w:val="18"/>
                <w:szCs w:val="18"/>
              </w:rPr>
              <w:t>2-Harcama yetkilisinin onayı ve gerçekleştirme görevlisinin talimatı sonucu ihtiyaç duyulan mal veya hizmetin mevzuata uygun biçimde satın alma işlemlerini yapmak.</w:t>
            </w: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4A27" w:rsidRPr="00EF012D" w:rsidTr="004F0169">
        <w:trPr>
          <w:trHeight w:val="769"/>
        </w:trPr>
        <w:tc>
          <w:tcPr>
            <w:tcW w:w="2578" w:type="dxa"/>
            <w:vAlign w:val="center"/>
          </w:tcPr>
          <w:p w:rsidR="00F84A27" w:rsidRPr="00EF012D" w:rsidRDefault="00F84A27" w:rsidP="00153334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6764" w:type="dxa"/>
            <w:vAlign w:val="center"/>
          </w:tcPr>
          <w:p w:rsidR="00F84A27" w:rsidRDefault="00F84A27" w:rsidP="00153334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153334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Av. Melihe ŞEYHANLIOĞLU</w:t>
            </w:r>
          </w:p>
          <w:p w:rsidR="00F84A27" w:rsidRDefault="00F84A27" w:rsidP="00153334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Daire Başkanı</w:t>
            </w:r>
          </w:p>
          <w:p w:rsidR="00F84A27" w:rsidRDefault="00F84A27" w:rsidP="00153334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153334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153334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153334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153334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153334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F84A27" w:rsidRPr="006D0102" w:rsidRDefault="00F84A27" w:rsidP="00EE3A46">
      <w:pPr>
        <w:jc w:val="both"/>
      </w:pPr>
    </w:p>
    <w:p w:rsidR="00F84A27" w:rsidRDefault="00F84A27"/>
    <w:p w:rsidR="00F84A27" w:rsidRDefault="00F84A27"/>
    <w:p w:rsidR="00F84A27" w:rsidRDefault="00F84A27"/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62"/>
        <w:gridCol w:w="874"/>
        <w:gridCol w:w="215"/>
        <w:gridCol w:w="1417"/>
        <w:gridCol w:w="1502"/>
        <w:gridCol w:w="1543"/>
        <w:gridCol w:w="676"/>
        <w:gridCol w:w="200"/>
        <w:gridCol w:w="810"/>
        <w:gridCol w:w="528"/>
      </w:tblGrid>
      <w:tr w:rsidR="00F84A27" w:rsidRPr="006D0102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7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Kütüphane ve Dokümantasyon Daire Başkanlığı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F84A27" w:rsidRPr="006D0102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F84A27" w:rsidRPr="006D0102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879F9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4879F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4879F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4879F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A27" w:rsidRPr="006D0102" w:rsidRDefault="00F84A27" w:rsidP="004879F9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</w:tr>
      <w:tr w:rsidR="00F84A27" w:rsidRPr="006D0102" w:rsidTr="004879F9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879F9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879F9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879F9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879F9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879F9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4879F9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84A27" w:rsidRPr="006D0102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4879F9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4879F9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:rsidR="00F84A27" w:rsidRDefault="00F84A27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9388" w:type="dxa"/>
        <w:tblLayout w:type="fixed"/>
        <w:tblLook w:val="04A0" w:firstRow="1" w:lastRow="0" w:firstColumn="1" w:lastColumn="0" w:noHBand="0" w:noVBand="1"/>
      </w:tblPr>
      <w:tblGrid>
        <w:gridCol w:w="2591"/>
        <w:gridCol w:w="6797"/>
      </w:tblGrid>
      <w:tr w:rsidR="00F84A27" w:rsidRPr="00EF012D" w:rsidTr="004F0169">
        <w:trPr>
          <w:trHeight w:val="548"/>
        </w:trPr>
        <w:tc>
          <w:tcPr>
            <w:tcW w:w="259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6797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Kütüphane Yazı İşleri Şube Müdürlüğü</w:t>
            </w:r>
          </w:p>
        </w:tc>
      </w:tr>
      <w:tr w:rsidR="00F84A27" w:rsidRPr="00EF012D" w:rsidTr="004F0169">
        <w:trPr>
          <w:trHeight w:val="513"/>
        </w:trPr>
        <w:tc>
          <w:tcPr>
            <w:tcW w:w="259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6797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Mutemetlik ve Mali İşler</w:t>
            </w:r>
          </w:p>
        </w:tc>
      </w:tr>
      <w:tr w:rsidR="00F84A27" w:rsidRPr="00EF012D" w:rsidTr="004F0169">
        <w:trPr>
          <w:trHeight w:val="334"/>
        </w:trPr>
        <w:tc>
          <w:tcPr>
            <w:tcW w:w="259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6797" w:type="dxa"/>
            <w:vAlign w:val="center"/>
          </w:tcPr>
          <w:p w:rsidR="00F84A27" w:rsidRDefault="00F84A27" w:rsidP="00A83510">
            <w:pPr>
              <w:ind w:right="-290"/>
              <w:rPr>
                <w:sz w:val="18"/>
                <w:szCs w:val="18"/>
              </w:rPr>
            </w:pPr>
            <w:r w:rsidRPr="00A83510">
              <w:rPr>
                <w:sz w:val="18"/>
                <w:szCs w:val="18"/>
              </w:rPr>
              <w:t xml:space="preserve">1-SGK tarafından İdari Para Cezası Uygulanması, </w:t>
            </w:r>
          </w:p>
          <w:p w:rsidR="00F84A27" w:rsidRPr="00A83510" w:rsidRDefault="00F84A27" w:rsidP="00A83510">
            <w:pPr>
              <w:ind w:right="-290"/>
              <w:rPr>
                <w:sz w:val="18"/>
                <w:szCs w:val="18"/>
              </w:rPr>
            </w:pPr>
          </w:p>
          <w:p w:rsidR="00F84A27" w:rsidRDefault="00F84A27" w:rsidP="00A83510">
            <w:pPr>
              <w:ind w:right="-290"/>
              <w:rPr>
                <w:sz w:val="18"/>
                <w:szCs w:val="18"/>
              </w:rPr>
            </w:pPr>
            <w:r w:rsidRPr="00A83510">
              <w:rPr>
                <w:sz w:val="18"/>
                <w:szCs w:val="18"/>
              </w:rPr>
              <w:t>2- Maaş, mesai, yolluk, giyim yardımı gibi personele ait ödemelerin gecikmesi, fazla veya eksik ödeme yapılması</w:t>
            </w:r>
            <w:r>
              <w:rPr>
                <w:sz w:val="18"/>
                <w:szCs w:val="18"/>
              </w:rPr>
              <w:t>.</w:t>
            </w:r>
          </w:p>
          <w:p w:rsidR="00F84A27" w:rsidRPr="00A83510" w:rsidRDefault="00F84A27" w:rsidP="00A83510">
            <w:pPr>
              <w:ind w:right="-290"/>
              <w:rPr>
                <w:sz w:val="18"/>
                <w:szCs w:val="18"/>
              </w:rPr>
            </w:pPr>
          </w:p>
          <w:p w:rsidR="00F84A27" w:rsidRDefault="00F84A27" w:rsidP="00A83510">
            <w:pPr>
              <w:ind w:right="-290"/>
              <w:rPr>
                <w:sz w:val="18"/>
                <w:szCs w:val="18"/>
              </w:rPr>
            </w:pPr>
            <w:r w:rsidRPr="00A83510">
              <w:rPr>
                <w:sz w:val="18"/>
                <w:szCs w:val="18"/>
              </w:rPr>
              <w:t>3-Günlü evraka cevap yazılamaması, evrakın bulunamaması,</w:t>
            </w:r>
          </w:p>
          <w:p w:rsidR="00F84A27" w:rsidRPr="00A83510" w:rsidRDefault="00F84A27" w:rsidP="00A83510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F84A27" w:rsidRPr="00EF012D" w:rsidTr="004F0169">
        <w:trPr>
          <w:trHeight w:val="869"/>
        </w:trPr>
        <w:tc>
          <w:tcPr>
            <w:tcW w:w="2591" w:type="dxa"/>
            <w:vAlign w:val="center"/>
          </w:tcPr>
          <w:p w:rsidR="00F84A27" w:rsidRPr="00EF012D" w:rsidRDefault="00F84A27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6797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Yüksek</w:t>
            </w:r>
          </w:p>
        </w:tc>
      </w:tr>
      <w:tr w:rsidR="00F84A27" w:rsidRPr="00EF012D" w:rsidTr="004F0169">
        <w:trPr>
          <w:trHeight w:val="1099"/>
        </w:trPr>
        <w:tc>
          <w:tcPr>
            <w:tcW w:w="259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6797" w:type="dxa"/>
            <w:vAlign w:val="center"/>
          </w:tcPr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A83510">
            <w:pPr>
              <w:ind w:right="-290"/>
              <w:rPr>
                <w:sz w:val="18"/>
                <w:szCs w:val="18"/>
              </w:rPr>
            </w:pPr>
            <w:r w:rsidRPr="00A83510">
              <w:rPr>
                <w:sz w:val="18"/>
                <w:szCs w:val="18"/>
              </w:rPr>
              <w:t xml:space="preserve">1-SGK'ya gönderilmesi gereken bildirgeleri yasal süresi içinde göndermek, </w:t>
            </w:r>
          </w:p>
          <w:p w:rsidR="00F84A27" w:rsidRPr="00A83510" w:rsidRDefault="00F84A27" w:rsidP="00A83510">
            <w:pPr>
              <w:ind w:right="-290"/>
              <w:rPr>
                <w:sz w:val="18"/>
                <w:szCs w:val="18"/>
              </w:rPr>
            </w:pPr>
            <w:r w:rsidRPr="00A83510">
              <w:rPr>
                <w:sz w:val="18"/>
                <w:szCs w:val="18"/>
              </w:rPr>
              <w:t>2- Personele ait ödemeleri yapmak ve bu işler ile ilgili süreçleri takip etmek, fazla veya eksik ödenen ücretler için form düzenleyerek tahsilini sağlamak.</w:t>
            </w:r>
          </w:p>
          <w:p w:rsidR="00F84A27" w:rsidRPr="00A83510" w:rsidRDefault="00F84A27" w:rsidP="00A83510">
            <w:pPr>
              <w:ind w:right="-290"/>
              <w:rPr>
                <w:sz w:val="18"/>
                <w:szCs w:val="18"/>
              </w:rPr>
            </w:pPr>
          </w:p>
          <w:p w:rsidR="00F84A27" w:rsidRPr="00A83510" w:rsidRDefault="00F84A27" w:rsidP="00A83510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83510">
              <w:rPr>
                <w:sz w:val="18"/>
                <w:szCs w:val="18"/>
              </w:rPr>
              <w:t>-Evrakın kaydedilmemesi ya da hatalı kaydedilmesi,</w:t>
            </w:r>
          </w:p>
          <w:p w:rsidR="00F84A27" w:rsidRPr="00A83510" w:rsidRDefault="00F84A27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4A27" w:rsidRPr="00EF012D" w:rsidTr="004F0169">
        <w:trPr>
          <w:trHeight w:val="838"/>
        </w:trPr>
        <w:tc>
          <w:tcPr>
            <w:tcW w:w="2591" w:type="dxa"/>
            <w:vAlign w:val="center"/>
          </w:tcPr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6797" w:type="dxa"/>
            <w:vAlign w:val="center"/>
          </w:tcPr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4879F9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Av. Melihe ŞEYHANLIOĞLU</w:t>
            </w:r>
          </w:p>
          <w:p w:rsidR="00F84A27" w:rsidRDefault="00F84A27" w:rsidP="004879F9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Daire Başkanı</w:t>
            </w: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F84A27" w:rsidRPr="006D0102" w:rsidRDefault="00F84A27" w:rsidP="00EE3A46">
      <w:pPr>
        <w:jc w:val="both"/>
      </w:pPr>
    </w:p>
    <w:p w:rsidR="00F84A27" w:rsidRDefault="00F84A27"/>
    <w:p w:rsidR="00F84A27" w:rsidRDefault="00F84A27"/>
    <w:p w:rsidR="00F84A27" w:rsidRDefault="00F84A27"/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62"/>
        <w:gridCol w:w="874"/>
        <w:gridCol w:w="215"/>
        <w:gridCol w:w="1417"/>
        <w:gridCol w:w="1502"/>
        <w:gridCol w:w="1543"/>
        <w:gridCol w:w="676"/>
        <w:gridCol w:w="200"/>
        <w:gridCol w:w="810"/>
        <w:gridCol w:w="528"/>
      </w:tblGrid>
      <w:tr w:rsidR="00F84A27" w:rsidRPr="006D0102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F84A27" w:rsidRPr="006D0102" w:rsidRDefault="00F84A27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Kütüphane ve Dokümantasyon Daire Başkanlığı</w:t>
            </w:r>
          </w:p>
          <w:p w:rsidR="00F84A27" w:rsidRPr="006D0102" w:rsidRDefault="00F84A27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F84A27" w:rsidRPr="006D0102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84A27" w:rsidRPr="006D0102" w:rsidRDefault="00F84A27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F84A27" w:rsidRPr="006D0102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01C4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701C4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701C4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A27" w:rsidRPr="006D0102" w:rsidRDefault="00F84A27" w:rsidP="00701C4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A27" w:rsidRPr="006D0102" w:rsidRDefault="00F84A27" w:rsidP="00701C4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</w:p>
        </w:tc>
      </w:tr>
      <w:tr w:rsidR="00F84A27" w:rsidRPr="006D0102" w:rsidTr="00701C4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01C4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01C4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01C4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01C4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01C4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84A27" w:rsidRPr="006D0102" w:rsidRDefault="00F84A27" w:rsidP="00701C4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84A27" w:rsidRPr="006D0102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01C4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84A27" w:rsidRPr="006D0102" w:rsidRDefault="00F84A27" w:rsidP="00701C4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:rsidR="00F84A27" w:rsidRDefault="00F84A27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9327" w:type="dxa"/>
        <w:tblLayout w:type="fixed"/>
        <w:tblLook w:val="04A0" w:firstRow="1" w:lastRow="0" w:firstColumn="1" w:lastColumn="0" w:noHBand="0" w:noVBand="1"/>
      </w:tblPr>
      <w:tblGrid>
        <w:gridCol w:w="2574"/>
        <w:gridCol w:w="6753"/>
      </w:tblGrid>
      <w:tr w:rsidR="00F84A27" w:rsidRPr="00EF012D" w:rsidTr="004F0169">
        <w:trPr>
          <w:trHeight w:val="515"/>
        </w:trPr>
        <w:tc>
          <w:tcPr>
            <w:tcW w:w="2574" w:type="dxa"/>
            <w:vAlign w:val="center"/>
          </w:tcPr>
          <w:p w:rsidR="00F84A27" w:rsidRPr="00EF012D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6753" w:type="dxa"/>
            <w:vAlign w:val="center"/>
          </w:tcPr>
          <w:p w:rsidR="00F84A27" w:rsidRPr="00EF012D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Kütüphane ve Dokümantasyon Daire Başkanlığı</w:t>
            </w:r>
          </w:p>
        </w:tc>
      </w:tr>
      <w:tr w:rsidR="00F84A27" w:rsidRPr="00EF012D" w:rsidTr="004F0169">
        <w:trPr>
          <w:trHeight w:val="482"/>
        </w:trPr>
        <w:tc>
          <w:tcPr>
            <w:tcW w:w="2574" w:type="dxa"/>
            <w:vAlign w:val="center"/>
          </w:tcPr>
          <w:p w:rsidR="00F84A27" w:rsidRPr="00EF012D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6753" w:type="dxa"/>
            <w:vAlign w:val="center"/>
          </w:tcPr>
          <w:p w:rsidR="00F84A27" w:rsidRPr="00EF012D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Temizlik Birimi</w:t>
            </w:r>
          </w:p>
        </w:tc>
      </w:tr>
      <w:tr w:rsidR="00F84A27" w:rsidRPr="00EF012D" w:rsidTr="004F0169">
        <w:trPr>
          <w:trHeight w:val="314"/>
        </w:trPr>
        <w:tc>
          <w:tcPr>
            <w:tcW w:w="2574" w:type="dxa"/>
            <w:vAlign w:val="center"/>
          </w:tcPr>
          <w:p w:rsidR="00F84A27" w:rsidRPr="00EF012D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6753" w:type="dxa"/>
            <w:vAlign w:val="center"/>
          </w:tcPr>
          <w:p w:rsidR="00F84A27" w:rsidRPr="00AA4AFA" w:rsidRDefault="00F84A27" w:rsidP="00AA4AFA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AA4AFA">
              <w:rPr>
                <w:sz w:val="18"/>
                <w:szCs w:val="18"/>
              </w:rPr>
              <w:t>1- Islak zeminin tehlike arz etmesi, birimin itibarının zedelemesi, personel ve öğrencilerin sağlıksız ortamda bulunması,</w:t>
            </w:r>
          </w:p>
        </w:tc>
      </w:tr>
      <w:tr w:rsidR="00F84A27" w:rsidRPr="00EF012D" w:rsidTr="004F0169">
        <w:trPr>
          <w:trHeight w:val="817"/>
        </w:trPr>
        <w:tc>
          <w:tcPr>
            <w:tcW w:w="2574" w:type="dxa"/>
            <w:vAlign w:val="center"/>
          </w:tcPr>
          <w:p w:rsidR="00F84A27" w:rsidRPr="00EF012D" w:rsidRDefault="00F84A27" w:rsidP="00AA4A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6753" w:type="dxa"/>
            <w:vAlign w:val="center"/>
          </w:tcPr>
          <w:p w:rsidR="00F84A27" w:rsidRPr="00EF012D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Yüksek</w:t>
            </w:r>
          </w:p>
        </w:tc>
      </w:tr>
      <w:tr w:rsidR="00F84A27" w:rsidRPr="00EF012D" w:rsidTr="004F0169">
        <w:trPr>
          <w:trHeight w:val="1033"/>
        </w:trPr>
        <w:tc>
          <w:tcPr>
            <w:tcW w:w="2574" w:type="dxa"/>
            <w:vAlign w:val="center"/>
          </w:tcPr>
          <w:p w:rsidR="00F84A27" w:rsidRPr="00EF012D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6753" w:type="dxa"/>
            <w:vAlign w:val="center"/>
          </w:tcPr>
          <w:p w:rsidR="00F84A27" w:rsidRPr="00AA4AFA" w:rsidRDefault="00F84A27" w:rsidP="00AA4AFA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AA4AFA" w:rsidRDefault="00F84A27" w:rsidP="00AA4AFA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AA4AFA" w:rsidRDefault="00F84A27" w:rsidP="00AA4AFA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AA4AFA" w:rsidRDefault="00F84A27" w:rsidP="00AA4AFA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AA4AFA">
              <w:rPr>
                <w:sz w:val="18"/>
                <w:szCs w:val="18"/>
              </w:rPr>
              <w:t>1-Temizliğin görev tanımında belirtilen aralıklarda yapılması.</w:t>
            </w:r>
          </w:p>
          <w:p w:rsidR="00F84A27" w:rsidRPr="00AA4AFA" w:rsidRDefault="00F84A27" w:rsidP="00AA4AFA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AA4AFA" w:rsidRDefault="00F84A27" w:rsidP="00AA4AFA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AA4AFA" w:rsidRDefault="00F84A27" w:rsidP="00AA4AFA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AA4AFA" w:rsidRDefault="00F84A27" w:rsidP="00AA4AFA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AA4AFA" w:rsidRDefault="00F84A27" w:rsidP="00AA4AFA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AA4AFA" w:rsidRDefault="00F84A27" w:rsidP="00AA4AFA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F84A27" w:rsidRPr="00AA4AFA" w:rsidRDefault="00F84A27" w:rsidP="00AA4AFA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F84A27" w:rsidRPr="00EF012D" w:rsidTr="004F0169">
        <w:trPr>
          <w:trHeight w:val="788"/>
        </w:trPr>
        <w:tc>
          <w:tcPr>
            <w:tcW w:w="2574" w:type="dxa"/>
            <w:vAlign w:val="center"/>
          </w:tcPr>
          <w:p w:rsidR="00F84A27" w:rsidRPr="00EF012D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6753" w:type="dxa"/>
            <w:vAlign w:val="center"/>
          </w:tcPr>
          <w:p w:rsidR="00F84A27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Av. Melihe ŞEYHANLIOĞLU</w:t>
            </w:r>
          </w:p>
          <w:p w:rsidR="00F84A27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Daire Başkanı</w:t>
            </w:r>
          </w:p>
          <w:p w:rsidR="00F84A27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84A27" w:rsidRPr="00EF012D" w:rsidRDefault="00F84A27" w:rsidP="00AA4AFA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F84A27" w:rsidRPr="006D0102" w:rsidRDefault="00F84A27" w:rsidP="00EE3A46">
      <w:pPr>
        <w:jc w:val="both"/>
      </w:pPr>
    </w:p>
    <w:p w:rsidR="00F84A27" w:rsidRDefault="00F84A27"/>
    <w:sectPr w:rsidR="00F84A27" w:rsidSect="004F016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D9"/>
    <w:rsid w:val="004F0169"/>
    <w:rsid w:val="00674AC5"/>
    <w:rsid w:val="00CC39D9"/>
    <w:rsid w:val="00F8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FD85"/>
  <w15:chartTrackingRefBased/>
  <w15:docId w15:val="{862CABA9-5633-4947-9E43-08DCDDBA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4A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4A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customStyle="1" w:styleId="TabloKlavuzu9">
    <w:name w:val="Tablo Kılavuzu9"/>
    <w:basedOn w:val="NormalTablo"/>
    <w:next w:val="TabloKlavuzu"/>
    <w:uiPriority w:val="59"/>
    <w:rsid w:val="00F8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8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1587</Words>
  <Characters>9047</Characters>
  <Application>Microsoft Office Word</Application>
  <DocSecurity>0</DocSecurity>
  <Lines>75</Lines>
  <Paragraphs>21</Paragraphs>
  <ScaleCrop>false</ScaleCrop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Dpu</dc:creator>
  <cp:keywords/>
  <dc:description/>
  <cp:lastModifiedBy>Dpu</cp:lastModifiedBy>
  <cp:revision>3</cp:revision>
  <dcterms:created xsi:type="dcterms:W3CDTF">2025-10-24T10:17:00Z</dcterms:created>
  <dcterms:modified xsi:type="dcterms:W3CDTF">2025-10-24T10:48:00Z</dcterms:modified>
</cp:coreProperties>
</file>