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8"/>
        <w:gridCol w:w="1516"/>
        <w:gridCol w:w="394"/>
        <w:gridCol w:w="2440"/>
        <w:gridCol w:w="2586"/>
        <w:gridCol w:w="2656"/>
        <w:gridCol w:w="1052"/>
        <w:gridCol w:w="369"/>
        <w:gridCol w:w="1261"/>
        <w:gridCol w:w="925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28722032" w:rsidR="006D0102" w:rsidRPr="00AE347B" w:rsidRDefault="006F56D4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>
              <w:rPr>
                <w:b/>
                <w:color w:val="EE0000"/>
                <w:szCs w:val="20"/>
                <w:lang w:val="tr-TR"/>
              </w:rPr>
              <w:t xml:space="preserve"> </w:t>
            </w:r>
            <w:r w:rsidR="00C425C7">
              <w:rPr>
                <w:b/>
                <w:color w:val="EE0000"/>
                <w:szCs w:val="20"/>
                <w:lang w:val="tr-TR"/>
              </w:rPr>
              <w:t>EĞİTİM 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1709A994" w:rsidR="006D0102" w:rsidRPr="00FB115C" w:rsidRDefault="00C425C7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24</w:t>
            </w:r>
            <w:r w:rsidR="00FB115C"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FB115C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48101BCA" w:rsidR="006D0102" w:rsidRPr="00FB115C" w:rsidRDefault="00C425C7" w:rsidP="006F56D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C425C7">
              <w:rPr>
                <w:sz w:val="20"/>
                <w:szCs w:val="20"/>
              </w:rPr>
              <w:t>https://egitim.dpu.edu.tr/tr/index/sayfa/16379/ic-kontrol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54C41943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r w:rsidR="00C425C7">
              <w:rPr>
                <w:color w:val="000000" w:themeColor="text1"/>
                <w:sz w:val="20"/>
                <w:szCs w:val="20"/>
              </w:rPr>
              <w:t>EĞİTİM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32"/>
        <w:gridCol w:w="2400"/>
        <w:gridCol w:w="2950"/>
        <w:gridCol w:w="1620"/>
        <w:gridCol w:w="3404"/>
        <w:gridCol w:w="1768"/>
        <w:gridCol w:w="3330"/>
      </w:tblGrid>
      <w:tr w:rsidR="00AE347B" w:rsidRPr="00AE347B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4F45F5">
        <w:tc>
          <w:tcPr>
            <w:tcW w:w="196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16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4F45F5">
        <w:tc>
          <w:tcPr>
            <w:tcW w:w="196" w:type="pct"/>
          </w:tcPr>
          <w:p w14:paraId="731AFB4E" w14:textId="77777777" w:rsidR="00AE347B" w:rsidRPr="00AE347B" w:rsidRDefault="00AE347B" w:rsidP="00C425C7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5F575C6B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9331754" w14:textId="77777777" w:rsidTr="00C425C7">
        <w:trPr>
          <w:trHeight w:val="1678"/>
        </w:trPr>
        <w:tc>
          <w:tcPr>
            <w:tcW w:w="196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4F45F5">
        <w:tc>
          <w:tcPr>
            <w:tcW w:w="196" w:type="pct"/>
          </w:tcPr>
          <w:p w14:paraId="2812AAC3" w14:textId="506678BF" w:rsidR="00AE347B" w:rsidRPr="00AE347B" w:rsidRDefault="00C425C7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4F45F5">
        <w:tc>
          <w:tcPr>
            <w:tcW w:w="196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46755FF4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YAZI İŞLERİ</w:t>
            </w:r>
          </w:p>
          <w:p w14:paraId="0B908877" w14:textId="57B19471" w:rsidR="00AE347B" w:rsidRDefault="00C425C7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Şule KUZEY</w:t>
            </w:r>
          </w:p>
          <w:p w14:paraId="538D2297" w14:textId="33DD215B" w:rsidR="00E808D5" w:rsidRPr="00AE347B" w:rsidRDefault="00E808D5" w:rsidP="00C425C7">
            <w:pPr>
              <w:pStyle w:val="AralkYok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4F45F5">
        <w:tc>
          <w:tcPr>
            <w:tcW w:w="196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5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Dekanlığımıza iletilen kararlar titizlikle ilgili personellerce uygulanmakta ve takibi 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yapılmaktadır.</w:t>
            </w:r>
          </w:p>
        </w:tc>
        <w:tc>
          <w:tcPr>
            <w:tcW w:w="54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Sürekli</w:t>
            </w:r>
          </w:p>
        </w:tc>
        <w:tc>
          <w:tcPr>
            <w:tcW w:w="1034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4C4B5E55" w:rsidR="00E808D5" w:rsidRPr="00E808D5" w:rsidRDefault="00C425C7" w:rsidP="00E808D5">
            <w:pPr>
              <w:pStyle w:val="AralkYok"/>
              <w:numPr>
                <w:ilvl w:val="0"/>
                <w:numId w:val="6"/>
              </w:numPr>
              <w:ind w:left="337" w:hanging="1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Mine SEVİM</w:t>
            </w: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4F45F5">
        <w:tc>
          <w:tcPr>
            <w:tcW w:w="196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745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1C241D40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left="322" w:hanging="1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C425C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Osman Nuri DİNÇER</w:t>
            </w:r>
          </w:p>
          <w:p w14:paraId="47E16019" w14:textId="413BD9AC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AE347B" w:rsidRPr="00AE347B" w14:paraId="4EECC71E" w14:textId="77777777" w:rsidTr="004F45F5">
        <w:tc>
          <w:tcPr>
            <w:tcW w:w="196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35D3C197" w14:textId="1E339FB5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3D8296AE" w14:textId="58899671" w:rsidR="006F56D4" w:rsidRPr="00C425C7" w:rsidRDefault="00C425C7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Osman Nuri DİNÇER</w:t>
            </w:r>
          </w:p>
          <w:p w14:paraId="315D4A30" w14:textId="4725EF13" w:rsidR="00C425C7" w:rsidRPr="00AE347B" w:rsidRDefault="00C425C7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Ahmet SARIKAYA</w:t>
            </w:r>
          </w:p>
          <w:p w14:paraId="17B67D2C" w14:textId="301A69B6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4F45F5">
        <w:tc>
          <w:tcPr>
            <w:tcW w:w="196" w:type="pct"/>
          </w:tcPr>
          <w:p w14:paraId="6C9FA456" w14:textId="62F3E4CF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34767995" w14:textId="345B77BB" w:rsidR="00E808D5" w:rsidRPr="00E808D5" w:rsidRDefault="00C425C7" w:rsidP="00E808D5">
            <w:pPr>
              <w:pStyle w:val="AralkYok"/>
              <w:numPr>
                <w:ilvl w:val="0"/>
                <w:numId w:val="5"/>
              </w:numPr>
              <w:ind w:left="322" w:firstLine="15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Kadir UĞUZ</w:t>
            </w:r>
          </w:p>
          <w:p w14:paraId="1359DC1C" w14:textId="005636E0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4F45F5">
        <w:tc>
          <w:tcPr>
            <w:tcW w:w="196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16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03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4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71E63BB2" w:rsidR="00AE347B" w:rsidRPr="00E808D5" w:rsidRDefault="00C425C7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Mine SEVİM</w:t>
            </w:r>
          </w:p>
        </w:tc>
      </w:tr>
      <w:tr w:rsidR="00AE347B" w:rsidRPr="00AE347B" w14:paraId="76443B73" w14:textId="77777777" w:rsidTr="004F45F5">
        <w:tc>
          <w:tcPr>
            <w:tcW w:w="196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44A47129" w:rsidR="00AE347B" w:rsidRPr="00E808D5" w:rsidRDefault="00C425C7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Mine SEVİM</w:t>
            </w:r>
          </w:p>
        </w:tc>
      </w:tr>
      <w:tr w:rsidR="00AE347B" w:rsidRPr="00AE347B" w14:paraId="0822243A" w14:textId="77777777" w:rsidTr="004F45F5">
        <w:tc>
          <w:tcPr>
            <w:tcW w:w="196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4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4F45F5">
        <w:tc>
          <w:tcPr>
            <w:tcW w:w="196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4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4F45F5">
        <w:tc>
          <w:tcPr>
            <w:tcW w:w="196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5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kâğıtlarının okunması, başarı notlarının zamanında elektronik ortama 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aktarılması</w:t>
            </w:r>
          </w:p>
        </w:tc>
        <w:tc>
          <w:tcPr>
            <w:tcW w:w="916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4F45F5">
        <w:tc>
          <w:tcPr>
            <w:tcW w:w="196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745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4F45F5">
        <w:tc>
          <w:tcPr>
            <w:tcW w:w="196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16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4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4F45F5">
        <w:tc>
          <w:tcPr>
            <w:tcW w:w="196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5DA65336" w14:textId="0DC6C955" w:rsidR="00AE347B" w:rsidRDefault="00C425C7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Mevlüt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ÇELİK</w:t>
            </w:r>
          </w:p>
          <w:p w14:paraId="50D32844" w14:textId="7E44C3E2" w:rsidR="00E808D5" w:rsidRDefault="00C425C7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Durmuş TAŞDELEN</w:t>
            </w:r>
          </w:p>
          <w:p w14:paraId="4FBC96E3" w14:textId="17AF3512" w:rsidR="00E808D5" w:rsidRDefault="00E808D5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4677C" w14:textId="232FDCBE" w:rsidR="00E808D5" w:rsidRPr="00AE347B" w:rsidRDefault="00E808D5" w:rsidP="00C425C7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727BB13" w14:textId="77777777" w:rsidTr="004F45F5">
        <w:tc>
          <w:tcPr>
            <w:tcW w:w="196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16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03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121CC480" w14:textId="77777777" w:rsidR="00C425C7" w:rsidRPr="00C425C7" w:rsidRDefault="00C425C7" w:rsidP="00C425C7">
            <w:pPr>
              <w:pStyle w:val="AralkYok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5C7">
              <w:rPr>
                <w:color w:val="000000" w:themeColor="text1"/>
                <w:sz w:val="20"/>
                <w:szCs w:val="20"/>
              </w:rPr>
              <w:t>Mevlüt</w:t>
            </w:r>
            <w:proofErr w:type="spellEnd"/>
            <w:r w:rsidRPr="00C425C7">
              <w:rPr>
                <w:color w:val="000000" w:themeColor="text1"/>
                <w:sz w:val="20"/>
                <w:szCs w:val="20"/>
              </w:rPr>
              <w:t xml:space="preserve"> ÇELİK</w:t>
            </w:r>
          </w:p>
          <w:p w14:paraId="74AB136D" w14:textId="77777777" w:rsidR="00C425C7" w:rsidRPr="00C425C7" w:rsidRDefault="00C425C7" w:rsidP="00C425C7">
            <w:pPr>
              <w:pStyle w:val="AralkYok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C425C7">
              <w:rPr>
                <w:color w:val="000000" w:themeColor="text1"/>
                <w:sz w:val="20"/>
                <w:szCs w:val="20"/>
              </w:rPr>
              <w:t>Durmuş TAŞDELEN</w:t>
            </w:r>
          </w:p>
          <w:p w14:paraId="7216938F" w14:textId="793368E1" w:rsidR="00E808D5" w:rsidRPr="00AE347B" w:rsidRDefault="00E808D5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4F45F5">
        <w:tc>
          <w:tcPr>
            <w:tcW w:w="196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45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5FD6A841" w14:textId="77777777" w:rsidR="00AE347B" w:rsidRDefault="00C425C7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Necdet İNAM</w:t>
            </w:r>
          </w:p>
          <w:p w14:paraId="450E8FFE" w14:textId="773730D8" w:rsidR="00C425C7" w:rsidRPr="00E808D5" w:rsidRDefault="00C425C7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Mihrican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ÇELİK</w:t>
            </w:r>
          </w:p>
        </w:tc>
      </w:tr>
      <w:tr w:rsidR="00AE347B" w:rsidRPr="00AE347B" w14:paraId="02D921B4" w14:textId="77777777" w:rsidTr="004F45F5">
        <w:tc>
          <w:tcPr>
            <w:tcW w:w="196" w:type="pct"/>
          </w:tcPr>
          <w:p w14:paraId="330B98B2" w14:textId="4901BA0D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5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4F45F5">
        <w:tc>
          <w:tcPr>
            <w:tcW w:w="196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5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4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4F45F5">
        <w:tc>
          <w:tcPr>
            <w:tcW w:w="196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45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16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03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4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Fakülte Sekreteri</w:t>
            </w:r>
          </w:p>
          <w:p w14:paraId="068A089C" w14:textId="60A00232" w:rsidR="00E808D5" w:rsidRPr="00E808D5" w:rsidRDefault="00C425C7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Mine SEVİM</w:t>
            </w:r>
          </w:p>
        </w:tc>
      </w:tr>
      <w:tr w:rsidR="00AE347B" w:rsidRPr="00AE347B" w14:paraId="33DA6724" w14:textId="77777777" w:rsidTr="004F45F5">
        <w:tc>
          <w:tcPr>
            <w:tcW w:w="196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745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16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4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77F2101D" w:rsidR="00AE347B" w:rsidRPr="00AE347B" w:rsidRDefault="00C425C7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Mine SEVİM</w:t>
            </w:r>
          </w:p>
        </w:tc>
      </w:tr>
      <w:tr w:rsidR="00AE347B" w:rsidRPr="00AE347B" w14:paraId="26F30600" w14:textId="77777777" w:rsidTr="004F45F5">
        <w:tc>
          <w:tcPr>
            <w:tcW w:w="196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5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16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03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4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53A74BF6" w:rsidR="00AE347B" w:rsidRPr="00AE347B" w:rsidRDefault="00C425C7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Mine SEVİM</w:t>
            </w: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544D83CC" w14:textId="21F28202" w:rsidR="00FB115C" w:rsidRPr="00101172" w:rsidRDefault="00FB115C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1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</w:t>
            </w:r>
          </w:p>
        </w:tc>
        <w:tc>
          <w:tcPr>
            <w:tcW w:w="2640" w:type="pct"/>
            <w:gridSpan w:val="3"/>
          </w:tcPr>
          <w:p w14:paraId="71EE89FD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B028A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790158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51E8AA" w14:textId="77777777" w:rsidR="00FB115C" w:rsidRPr="00AE347B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75D06"/>
    <w:rsid w:val="00397B11"/>
    <w:rsid w:val="004F0F89"/>
    <w:rsid w:val="004F45F5"/>
    <w:rsid w:val="005211CE"/>
    <w:rsid w:val="006D0102"/>
    <w:rsid w:val="006F56D4"/>
    <w:rsid w:val="007D6076"/>
    <w:rsid w:val="00856DCA"/>
    <w:rsid w:val="00952427"/>
    <w:rsid w:val="00AB2B4D"/>
    <w:rsid w:val="00AE347B"/>
    <w:rsid w:val="00BB467C"/>
    <w:rsid w:val="00C425C7"/>
    <w:rsid w:val="00D2197F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customStyle="1" w:styleId="GridTableLight">
    <w:name w:val="Grid Table Light"/>
    <w:basedOn w:val="NormalTablo"/>
    <w:uiPriority w:val="40"/>
    <w:rsid w:val="00AE347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25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5C7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customStyle="1" w:styleId="GridTableLight">
    <w:name w:val="Grid Table Light"/>
    <w:basedOn w:val="NormalTablo"/>
    <w:uiPriority w:val="40"/>
    <w:rsid w:val="00AE347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25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5C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Pembe</cp:lastModifiedBy>
  <cp:revision>6</cp:revision>
  <dcterms:created xsi:type="dcterms:W3CDTF">2025-10-23T11:04:00Z</dcterms:created>
  <dcterms:modified xsi:type="dcterms:W3CDTF">2025-10-24T08:18:00Z</dcterms:modified>
</cp:coreProperties>
</file>