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541"/>
        <w:tblOverlap w:val="never"/>
        <w:tblW w:w="9064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2464"/>
        <w:gridCol w:w="4053"/>
      </w:tblGrid>
      <w:tr w:rsidR="00B6621F" w:rsidRPr="00B6621F" w:rsidTr="00044B00">
        <w:trPr>
          <w:trHeight w:val="611"/>
        </w:trPr>
        <w:tc>
          <w:tcPr>
            <w:tcW w:w="1555" w:type="dxa"/>
            <w:vMerge w:val="restart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Arial" w:hAnsi="Arial" w:cs="Arial"/>
                <w:noProof/>
                <w:color w:val="000000" w:themeColor="text1"/>
                <w:lang w:eastAsia="tr-TR"/>
              </w:rPr>
              <w:drawing>
                <wp:inline distT="0" distB="0" distL="0" distR="0" wp14:anchorId="1125077E" wp14:editId="549D3621">
                  <wp:extent cx="810895" cy="813773"/>
                  <wp:effectExtent l="0" t="0" r="0" b="0"/>
                  <wp:docPr id="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  <w:gridSpan w:val="3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spacing w:line="300" w:lineRule="atLeast"/>
              <w:ind w:left="97"/>
              <w:jc w:val="center"/>
              <w:rPr>
                <w:rFonts w:ascii="Arial" w:eastAsia="Arial" w:hAnsi="Arial" w:cs="Arial"/>
                <w:b/>
                <w:color w:val="000000" w:themeColor="text1"/>
                <w:sz w:val="23"/>
                <w:lang w:eastAsia="tr-TR" w:bidi="tr-TR"/>
              </w:rPr>
            </w:pPr>
            <w:r w:rsidRPr="00B6621F">
              <w:rPr>
                <w:rFonts w:ascii="Arial" w:eastAsia="Arial" w:hAnsi="Arial" w:cs="Arial"/>
                <w:b/>
                <w:color w:val="000000" w:themeColor="text1"/>
                <w:w w:val="110"/>
                <w:sz w:val="24"/>
                <w:szCs w:val="24"/>
                <w:lang w:eastAsia="tr-TR" w:bidi="tr-TR"/>
              </w:rPr>
              <w:t>KÜTAHYA DUMLUPINAR ÜNİVERSİTESİ</w:t>
            </w:r>
          </w:p>
          <w:p w:rsidR="00B6621F" w:rsidRPr="00B6621F" w:rsidRDefault="00B6621F" w:rsidP="00B6621F">
            <w:pPr>
              <w:widowControl w:val="0"/>
              <w:autoSpaceDE w:val="0"/>
              <w:autoSpaceDN w:val="0"/>
              <w:ind w:left="1270" w:right="1392"/>
              <w:jc w:val="center"/>
              <w:rPr>
                <w:rFonts w:ascii="Arial" w:eastAsia="Arial" w:hAnsi="Arial" w:cs="Arial"/>
                <w:b/>
                <w:sz w:val="28"/>
                <w:szCs w:val="24"/>
                <w:lang w:eastAsia="tr-TR" w:bidi="tr-TR"/>
              </w:rPr>
            </w:pPr>
            <w:r w:rsidRPr="00B6621F">
              <w:rPr>
                <w:rFonts w:ascii="Arial" w:eastAsia="Arial" w:hAnsi="Arial" w:cs="Arial"/>
                <w:b/>
                <w:sz w:val="28"/>
                <w:szCs w:val="24"/>
                <w:lang w:eastAsia="tr-TR" w:bidi="tr-TR"/>
              </w:rPr>
              <w:t>İç Denetim Birimi Başkanlığı</w:t>
            </w:r>
          </w:p>
          <w:p w:rsidR="00B6621F" w:rsidRPr="00B6621F" w:rsidRDefault="00B6621F" w:rsidP="00B6621F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</w:p>
        </w:tc>
      </w:tr>
      <w:tr w:rsidR="00B6621F" w:rsidRPr="00B6621F" w:rsidTr="00044B00">
        <w:trPr>
          <w:trHeight w:val="551"/>
        </w:trPr>
        <w:tc>
          <w:tcPr>
            <w:tcW w:w="1555" w:type="dxa"/>
            <w:vMerge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</w:p>
        </w:tc>
        <w:tc>
          <w:tcPr>
            <w:tcW w:w="7509" w:type="dxa"/>
            <w:gridSpan w:val="3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eastAsia="tr-TR" w:bidi="tr-TR"/>
              </w:rPr>
              <w:t>BİRİM GÖREV TANIM FORMU</w:t>
            </w:r>
          </w:p>
        </w:tc>
      </w:tr>
      <w:tr w:rsidR="00B6621F" w:rsidRPr="00B6621F" w:rsidTr="00044B00">
        <w:trPr>
          <w:trHeight w:val="539"/>
        </w:trPr>
        <w:tc>
          <w:tcPr>
            <w:tcW w:w="2547" w:type="dxa"/>
            <w:gridSpan w:val="2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Birim Adı</w:t>
            </w:r>
          </w:p>
        </w:tc>
        <w:tc>
          <w:tcPr>
            <w:tcW w:w="6517" w:type="dxa"/>
            <w:gridSpan w:val="2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İç Denetim Birimi Başkanlığı</w:t>
            </w:r>
          </w:p>
        </w:tc>
      </w:tr>
      <w:tr w:rsidR="00B6621F" w:rsidRPr="00B6621F" w:rsidTr="00044B00">
        <w:trPr>
          <w:trHeight w:val="539"/>
        </w:trPr>
        <w:tc>
          <w:tcPr>
            <w:tcW w:w="2547" w:type="dxa"/>
            <w:gridSpan w:val="2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Görev/Kadro Unvanı</w:t>
            </w:r>
          </w:p>
        </w:tc>
        <w:tc>
          <w:tcPr>
            <w:tcW w:w="6517" w:type="dxa"/>
            <w:gridSpan w:val="2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İç Denetçi</w:t>
            </w:r>
          </w:p>
        </w:tc>
      </w:tr>
      <w:tr w:rsidR="00B6621F" w:rsidRPr="00B6621F" w:rsidTr="00044B00">
        <w:trPr>
          <w:trHeight w:val="627"/>
        </w:trPr>
        <w:tc>
          <w:tcPr>
            <w:tcW w:w="2547" w:type="dxa"/>
            <w:gridSpan w:val="2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Bağlı Olduğu Yönetici</w:t>
            </w:r>
          </w:p>
        </w:tc>
        <w:tc>
          <w:tcPr>
            <w:tcW w:w="6517" w:type="dxa"/>
            <w:gridSpan w:val="2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sz w:val="20"/>
                <w:szCs w:val="20"/>
                <w:lang w:eastAsia="tr-TR" w:bidi="tr-TR"/>
              </w:rPr>
              <w:t>Rektör</w:t>
            </w:r>
          </w:p>
        </w:tc>
      </w:tr>
      <w:tr w:rsidR="00B6621F" w:rsidRPr="00B6621F" w:rsidTr="00044B00">
        <w:trPr>
          <w:trHeight w:val="560"/>
        </w:trPr>
        <w:tc>
          <w:tcPr>
            <w:tcW w:w="2547" w:type="dxa"/>
            <w:gridSpan w:val="2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İç Denetçinin Görevleri</w:t>
            </w:r>
          </w:p>
        </w:tc>
        <w:tc>
          <w:tcPr>
            <w:tcW w:w="6517" w:type="dxa"/>
            <w:gridSpan w:val="2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lang w:eastAsia="tr-TR" w:bidi="tr-TR"/>
              </w:rPr>
            </w:pP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a) Nesnel risk analizlerine dayanarak kurumun yönetim ve kontrol yapılarını değerlendirmek.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b) Kaynakların etkili, ekonomik ve verimli kullanılması bakımından incelemeler yapmak ve önerilerde bulunmak.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c) Harcama sonrasında uygunluk denetimi yapmak.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ç) Kurumun harcamalarının, mali işlemlere ilişkin karar ve tasarruflarının, amaç ve politikalara, kalkınma planına,   programlara,   stratejik planlara ve performans programlarına uygunluğunu denetlemek ve değerlendirmek.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d) Mali yönetim ve kontrol süreçlerinin sistem denetimini yapmak ve bu konularda önerilerde bulunmak.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e) Denetim sonuçları çerçevesinde iyileştirmelere yönelik önerilerde bulunmak ve bunları takip etmek,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f) Denetim sırasında veya denetim sonuçlarına göre soruşturma açılmasını gerektirecek bir duruma rastlanıldığında, Başkan aracılığıyla Rektöre bildirmek,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g) Kurum tarafından üretilen bilgilerin doğruluğunu denetlemek.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ğ) Rektör tarafından gerekli görülen hallerde performans göstergelerini belirlemede yardımcı olmak, belirlenen performans göstergelerinin uygulanabilirliğini değerlendirmek.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h) Suç teşkil eden durumlara ilişkin tespitlerini Başkan aracılığıyla Rektöre bildirmek.</w:t>
            </w:r>
          </w:p>
        </w:tc>
      </w:tr>
      <w:tr w:rsidR="00B6621F" w:rsidRPr="00B6621F" w:rsidTr="00044B00">
        <w:trPr>
          <w:trHeight w:val="560"/>
        </w:trPr>
        <w:tc>
          <w:tcPr>
            <w:tcW w:w="2547" w:type="dxa"/>
            <w:gridSpan w:val="2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İç Denetçinin Yetkileri</w:t>
            </w:r>
          </w:p>
        </w:tc>
        <w:tc>
          <w:tcPr>
            <w:tcW w:w="6517" w:type="dxa"/>
            <w:gridSpan w:val="2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</w:pP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a) Denetim konusuyla ilgili elektronik ortamdakiler dâhil her türlü bilgi, belge ve dokümanlar ile nakit, kıymetli evrak ve diğer varlıkların ibrazını talep etmek.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b) Denetlenen birim çalışanlarından, iç denetim faaliyetlerinin gereği olarak yardım almak, yazılı ve sözlü bilgi istemek.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c) Denetim faaliyetinin gerektirdiği araç, gereç ve diğer imkânlardan yararlanmak.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ç) Denetimi engelleyici tutum, davranış ve hareketleri Birim Başkanlığı aracılığıyla Rektörün bilgisine intikal ettirmek.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d) İç denetim faaliyetinin gerektirdiği konularda uzman yardımı almak veya görüşünden yararlanmak,</w:t>
            </w:r>
          </w:p>
        </w:tc>
      </w:tr>
      <w:tr w:rsidR="00B6621F" w:rsidRPr="00B6621F" w:rsidTr="00044B00">
        <w:trPr>
          <w:trHeight w:val="518"/>
        </w:trPr>
        <w:tc>
          <w:tcPr>
            <w:tcW w:w="2547" w:type="dxa"/>
            <w:gridSpan w:val="2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İç Denetçinin</w:t>
            </w:r>
          </w:p>
          <w:p w:rsidR="00B6621F" w:rsidRPr="00B6621F" w:rsidRDefault="00B6621F" w:rsidP="00B662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Sorumlulukları</w:t>
            </w:r>
          </w:p>
        </w:tc>
        <w:tc>
          <w:tcPr>
            <w:tcW w:w="6517" w:type="dxa"/>
            <w:gridSpan w:val="2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lang w:eastAsia="tr-TR" w:bidi="tr-TR"/>
              </w:rPr>
            </w:pP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a) Mevzuata, yönergeye, denetim standartlarına ve etik kurallara uygun hareket etmek.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b) Mesleki bilgi ve becerilerini sürekli olarak geliştirmek.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c) İç denetim faaliyetlerinde yetki ve ehliyetini aşan durumlarda Başkanı haberdar etmek.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ç) Verilen görevin tarafsız ve bağımsız olarak yapılmasına engel olan durumların bulunması halinde durumu Başkana yazılı olarak bildirmek.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d) Denetim raporlarında kanıtlara dayanmak ve değerlendirmelerinde tarafsız olmak.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e) Denetim esnasında elde ettiği bilgilerin gizliliğini korumak.</w:t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lang w:eastAsia="tr-TR" w:bidi="tr-TR"/>
              </w:rPr>
              <w:br/>
            </w:r>
            <w:r w:rsidRPr="00B6621F"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  <w:lang w:eastAsia="tr-TR" w:bidi="tr-TR"/>
              </w:rPr>
              <w:t>(2) İç denetçiler, atandıkları idari görevlerde ve iç denetçiliğe döndüklerinde Kamu İç Denetim Standartları ve Meslek Ahlak Kurallarına uygun davranırlar.</w:t>
            </w:r>
          </w:p>
        </w:tc>
      </w:tr>
      <w:tr w:rsidR="00B6621F" w:rsidRPr="00B6621F" w:rsidTr="00044B00">
        <w:trPr>
          <w:trHeight w:val="408"/>
        </w:trPr>
        <w:tc>
          <w:tcPr>
            <w:tcW w:w="5011" w:type="dxa"/>
            <w:gridSpan w:val="3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Hazırlayan</w:t>
            </w:r>
          </w:p>
        </w:tc>
        <w:tc>
          <w:tcPr>
            <w:tcW w:w="4053" w:type="dxa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Onaylayan</w:t>
            </w:r>
          </w:p>
        </w:tc>
      </w:tr>
      <w:tr w:rsidR="00B6621F" w:rsidRPr="00B6621F" w:rsidTr="00044B00">
        <w:trPr>
          <w:trHeight w:val="1021"/>
        </w:trPr>
        <w:tc>
          <w:tcPr>
            <w:tcW w:w="5011" w:type="dxa"/>
            <w:gridSpan w:val="3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Fatma TÜZÜNER</w:t>
            </w:r>
          </w:p>
          <w:p w:rsidR="00B6621F" w:rsidRPr="00B6621F" w:rsidRDefault="00B6621F" w:rsidP="00B662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 xml:space="preserve">Şef </w:t>
            </w:r>
          </w:p>
          <w:p w:rsidR="00B6621F" w:rsidRPr="00B6621F" w:rsidRDefault="00B6621F" w:rsidP="00B662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İmza</w:t>
            </w:r>
          </w:p>
          <w:p w:rsidR="00B6621F" w:rsidRPr="00B6621F" w:rsidRDefault="00B6621F" w:rsidP="00B662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proofErr w:type="gramStart"/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….</w:t>
            </w:r>
            <w:proofErr w:type="gramEnd"/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/…./…….</w:t>
            </w:r>
          </w:p>
        </w:tc>
        <w:tc>
          <w:tcPr>
            <w:tcW w:w="4053" w:type="dxa"/>
            <w:vAlign w:val="center"/>
          </w:tcPr>
          <w:p w:rsidR="00B6621F" w:rsidRPr="00B6621F" w:rsidRDefault="00B6621F" w:rsidP="00B662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Mustafa TAŞDELEN</w:t>
            </w:r>
          </w:p>
          <w:p w:rsidR="00B6621F" w:rsidRPr="00B6621F" w:rsidRDefault="00B6621F" w:rsidP="00B662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İç Denetim Birimi Başkanı</w:t>
            </w:r>
          </w:p>
          <w:p w:rsidR="00B6621F" w:rsidRPr="00B6621F" w:rsidRDefault="00B6621F" w:rsidP="00B662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İmza</w:t>
            </w:r>
          </w:p>
          <w:p w:rsidR="00B6621F" w:rsidRPr="00B6621F" w:rsidRDefault="00B6621F" w:rsidP="00B6621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</w:pPr>
            <w:proofErr w:type="gramStart"/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….</w:t>
            </w:r>
            <w:proofErr w:type="gramEnd"/>
            <w:r w:rsidRPr="00B6621F">
              <w:rPr>
                <w:rFonts w:ascii="Arial" w:eastAsia="Times New Roman" w:hAnsi="Arial" w:cs="Arial"/>
                <w:b/>
                <w:sz w:val="20"/>
                <w:szCs w:val="20"/>
                <w:lang w:eastAsia="tr-TR" w:bidi="tr-TR"/>
              </w:rPr>
              <w:t>/…./…….</w:t>
            </w:r>
          </w:p>
        </w:tc>
      </w:tr>
    </w:tbl>
    <w:p w:rsidR="00342319" w:rsidRDefault="00342319">
      <w:bookmarkStart w:id="0" w:name="_GoBack"/>
      <w:bookmarkEnd w:id="0"/>
    </w:p>
    <w:sectPr w:rsidR="00342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8B"/>
    <w:rsid w:val="00342319"/>
    <w:rsid w:val="00B6621F"/>
    <w:rsid w:val="00C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BBEE5-0A77-44F2-ACD2-B4D8CC9A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2025-11-18T08:24:00Z</dcterms:created>
  <dcterms:modified xsi:type="dcterms:W3CDTF">2025-11-18T08:24:00Z</dcterms:modified>
</cp:coreProperties>
</file>