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08A3ED3F" w:rsidR="006F2601" w:rsidRPr="006F2601" w:rsidRDefault="001613ED" w:rsidP="006F2601">
            <w:pPr>
              <w:pStyle w:val="TableParagraph"/>
              <w:ind w:left="1270" w:right="1392"/>
              <w:jc w:val="center"/>
              <w:rPr>
                <w:b/>
                <w:color w:val="000000" w:themeColor="text1"/>
                <w:sz w:val="26"/>
              </w:rPr>
            </w:pPr>
            <w:r>
              <w:rPr>
                <w:b/>
                <w:color w:val="EE0000"/>
                <w:sz w:val="28"/>
                <w:szCs w:val="24"/>
              </w:rPr>
              <w:t>Sürekli Eğitim Uygulama ve Araştırma Merkezi</w:t>
            </w:r>
            <w:r w:rsidR="006F2601"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Tarih: …./…./20..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6D0F" w14:textId="77777777" w:rsidR="00F6228F" w:rsidRDefault="00F6228F" w:rsidP="007A07A7">
      <w:r>
        <w:separator/>
      </w:r>
    </w:p>
  </w:endnote>
  <w:endnote w:type="continuationSeparator" w:id="0">
    <w:p w14:paraId="2231016E" w14:textId="77777777" w:rsidR="00F6228F" w:rsidRDefault="00F6228F"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21652"/>
      <w:docPartObj>
        <w:docPartGallery w:val="Page Numbers (Bottom of Page)"/>
        <w:docPartUnique/>
      </w:docPartObj>
    </w:sdtPr>
    <w:sdtContent>
      <w:p w14:paraId="774608EE" w14:textId="054808DA" w:rsidR="007A07A7" w:rsidRDefault="007A07A7">
        <w:pPr>
          <w:pStyle w:val="AltBilgi"/>
          <w:jc w:val="center"/>
        </w:pPr>
        <w:r>
          <w:fldChar w:fldCharType="begin"/>
        </w:r>
        <w:r>
          <w:instrText>PAGE   \* MERGEFORMAT</w:instrText>
        </w:r>
        <w:r>
          <w:fldChar w:fldCharType="separate"/>
        </w:r>
        <w: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5FB5" w14:textId="77777777" w:rsidR="00F6228F" w:rsidRDefault="00F6228F" w:rsidP="007A07A7">
      <w:r>
        <w:separator/>
      </w:r>
    </w:p>
  </w:footnote>
  <w:footnote w:type="continuationSeparator" w:id="0">
    <w:p w14:paraId="16AF64B1" w14:textId="77777777" w:rsidR="00F6228F" w:rsidRDefault="00F6228F"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E"/>
    <w:rsid w:val="0006378B"/>
    <w:rsid w:val="000B667E"/>
    <w:rsid w:val="001613ED"/>
    <w:rsid w:val="001722DC"/>
    <w:rsid w:val="00292EB8"/>
    <w:rsid w:val="00297BF0"/>
    <w:rsid w:val="005A0B2A"/>
    <w:rsid w:val="00665201"/>
    <w:rsid w:val="006F2601"/>
    <w:rsid w:val="00791CA0"/>
    <w:rsid w:val="007A07A7"/>
    <w:rsid w:val="00957B87"/>
    <w:rsid w:val="009B0021"/>
    <w:rsid w:val="00A42C8D"/>
    <w:rsid w:val="00BB7B8D"/>
    <w:rsid w:val="00C303EE"/>
    <w:rsid w:val="00CD4100"/>
    <w:rsid w:val="00CE6606"/>
    <w:rsid w:val="00DA10B5"/>
    <w:rsid w:val="00E12B7B"/>
    <w:rsid w:val="00F62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EDB7-9A8C-4808-8CB8-D6A9A181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294</Words>
  <Characters>1813</Characters>
  <Application>Microsoft Office Word</Application>
  <DocSecurity>0</DocSecurity>
  <Lines>139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Oznur OztUrk</cp:lastModifiedBy>
  <cp:revision>5</cp:revision>
  <dcterms:created xsi:type="dcterms:W3CDTF">2025-05-07T07:11:00Z</dcterms:created>
  <dcterms:modified xsi:type="dcterms:W3CDTF">2025-11-23T10:24:00Z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y fmtid="{D5CDD505-2E9C-101B-9397-08002B2CF9AE}" pid="5" name="GrammarlyDocumentId">
    <vt:lpwstr>65700d1f-8529-4d01-bd9d-655005f9ea4c</vt:lpwstr>
  </property>
</Properties>
</file>