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817"/>
        <w:gridCol w:w="2716"/>
        <w:gridCol w:w="706"/>
        <w:gridCol w:w="4373"/>
        <w:gridCol w:w="4635"/>
        <w:gridCol w:w="4760"/>
        <w:gridCol w:w="1885"/>
        <w:gridCol w:w="660"/>
        <w:gridCol w:w="2260"/>
        <w:gridCol w:w="1657"/>
      </w:tblGrid>
      <w:tr w:rsidR="006D0102" w:rsidRPr="00AE347B" w14:paraId="4602CFFC" w14:textId="77777777" w:rsidTr="00DE529B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AE347B" w:rsidRDefault="006D0102" w:rsidP="00AE347B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AE347B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E347B" w:rsidRDefault="006D0102" w:rsidP="00AE347B">
            <w:pPr>
              <w:pStyle w:val="TableParagraph"/>
              <w:ind w:left="1500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0B8C1F88" w:rsidR="006D0102" w:rsidRPr="00AE347B" w:rsidRDefault="00DE529B" w:rsidP="00AE347B">
            <w:pPr>
              <w:pStyle w:val="TableParagraph"/>
              <w:ind w:left="1270" w:right="1392"/>
              <w:jc w:val="center"/>
              <w:rPr>
                <w:b/>
                <w:color w:val="EE0000"/>
                <w:szCs w:val="20"/>
                <w:lang w:val="tr-TR"/>
              </w:rPr>
            </w:pPr>
            <w:r>
              <w:rPr>
                <w:b/>
                <w:color w:val="EE0000"/>
                <w:szCs w:val="20"/>
                <w:lang w:val="tr-TR"/>
              </w:rPr>
              <w:t xml:space="preserve">İLAHİYAT </w:t>
            </w:r>
            <w:r w:rsidR="001B2909" w:rsidRPr="00AE347B">
              <w:rPr>
                <w:b/>
                <w:color w:val="EE0000"/>
                <w:szCs w:val="20"/>
                <w:lang w:val="tr-TR"/>
              </w:rPr>
              <w:t>FAKÜLTESİ</w:t>
            </w:r>
          </w:p>
          <w:p w14:paraId="5908E9EB" w14:textId="77777777" w:rsidR="006D0102" w:rsidRPr="00AE347B" w:rsidRDefault="006D0102" w:rsidP="00AE347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AE347B" w14:paraId="64A64118" w14:textId="77777777" w:rsidTr="00DE529B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AE347B" w:rsidRDefault="001B268D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AE347B" w:rsidRDefault="001B268D" w:rsidP="00AE347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AE347B" w14:paraId="75E9FB03" w14:textId="77777777" w:rsidTr="00DE529B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394A0A41" w:rsidR="006D0102" w:rsidRPr="00FB115C" w:rsidRDefault="00DE529B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27</w:t>
            </w:r>
            <w:r w:rsidR="00FB115C"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/10</w:t>
            </w:r>
            <w:r w:rsidR="006D0102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FB115C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FB115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FB115C" w:rsidRDefault="006D0102" w:rsidP="00AE347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AE347B" w14:paraId="2EF97237" w14:textId="77777777" w:rsidTr="00DE529B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11ABBE26" w:rsidR="006D0102" w:rsidRPr="00FB115C" w:rsidRDefault="00DE529B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https://ilahiyat</w:t>
            </w:r>
            <w:r w:rsidR="008E2024" w:rsidRPr="008E2024">
              <w:rPr>
                <w:color w:val="000000" w:themeColor="text1"/>
                <w:sz w:val="20"/>
                <w:szCs w:val="20"/>
                <w:lang w:val="tr-TR"/>
              </w:rPr>
              <w:t>.dpu.edu.tr/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FB115C" w:rsidRDefault="00FB115C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AE347B" w14:paraId="0E8AF6CB" w14:textId="77777777" w:rsidTr="00DE529B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AE347B" w14:paraId="221252DC" w14:textId="77777777" w:rsidTr="00DE529B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FB115C" w:rsidRDefault="00AE347B" w:rsidP="00AE347B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29987532" w:rsidR="00AE347B" w:rsidRPr="00FB115C" w:rsidRDefault="00DE529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İLAHİYAT </w:t>
            </w:r>
            <w:r w:rsidR="008E2024">
              <w:rPr>
                <w:color w:val="000000" w:themeColor="text1"/>
                <w:sz w:val="20"/>
                <w:szCs w:val="20"/>
              </w:rPr>
              <w:t>FAKÜLTESİ</w:t>
            </w:r>
          </w:p>
        </w:tc>
      </w:tr>
      <w:tr w:rsidR="00AE347B" w:rsidRPr="00AE347B" w14:paraId="30F6B384" w14:textId="77777777" w:rsidTr="00DE529B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FB115C" w:rsidRDefault="00AE347B" w:rsidP="00AE347B">
            <w:pPr>
              <w:pStyle w:val="TableParagraph"/>
              <w:ind w:left="164"/>
              <w:rPr>
                <w:rFonts w:eastAsia="Times New Roman"/>
                <w:b/>
                <w:bCs/>
                <w:sz w:val="20"/>
                <w:szCs w:val="20"/>
              </w:rPr>
            </w:pPr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4D8A2FDC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Tüm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Alt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Birimler</w:t>
            </w:r>
            <w:proofErr w:type="spellEnd"/>
          </w:p>
        </w:tc>
      </w:tr>
    </w:tbl>
    <w:tbl>
      <w:tblPr>
        <w:tblStyle w:val="TabloKlavuzu10"/>
        <w:tblW w:w="4973" w:type="pct"/>
        <w:tblLook w:val="04A0" w:firstRow="1" w:lastRow="0" w:firstColumn="1" w:lastColumn="0" w:noHBand="0" w:noVBand="1"/>
      </w:tblPr>
      <w:tblGrid>
        <w:gridCol w:w="621"/>
        <w:gridCol w:w="2366"/>
        <w:gridCol w:w="2908"/>
        <w:gridCol w:w="1598"/>
        <w:gridCol w:w="3355"/>
        <w:gridCol w:w="1742"/>
        <w:gridCol w:w="2715"/>
      </w:tblGrid>
      <w:tr w:rsidR="00AE347B" w:rsidRPr="00AE347B" w14:paraId="01341435" w14:textId="77777777" w:rsidTr="00DE4F8F">
        <w:tc>
          <w:tcPr>
            <w:tcW w:w="203" w:type="pct"/>
            <w:shd w:val="clear" w:color="auto" w:fill="B4C6E7" w:themeFill="accent5" w:themeFillTint="66"/>
            <w:vAlign w:val="center"/>
          </w:tcPr>
          <w:p w14:paraId="741E12E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73" w:type="pct"/>
            <w:shd w:val="clear" w:color="auto" w:fill="B4C6E7" w:themeFill="accent5" w:themeFillTint="66"/>
            <w:vAlign w:val="center"/>
          </w:tcPr>
          <w:p w14:paraId="40C91D2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50" w:type="pct"/>
            <w:shd w:val="clear" w:color="auto" w:fill="B4C6E7" w:themeFill="accent5" w:themeFillTint="66"/>
            <w:vAlign w:val="center"/>
          </w:tcPr>
          <w:p w14:paraId="7E6F981C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1A2B668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22" w:type="pct"/>
            <w:shd w:val="clear" w:color="auto" w:fill="B4C6E7" w:themeFill="accent5" w:themeFillTint="66"/>
            <w:vAlign w:val="center"/>
          </w:tcPr>
          <w:p w14:paraId="0E0A1D25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96" w:type="pct"/>
            <w:shd w:val="clear" w:color="auto" w:fill="B4C6E7" w:themeFill="accent5" w:themeFillTint="66"/>
            <w:vAlign w:val="center"/>
          </w:tcPr>
          <w:p w14:paraId="350CD9D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69" w:type="pct"/>
            <w:shd w:val="clear" w:color="auto" w:fill="B4C6E7" w:themeFill="accent5" w:themeFillTint="66"/>
            <w:vAlign w:val="center"/>
          </w:tcPr>
          <w:p w14:paraId="1F87DF4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887" w:type="pct"/>
            <w:shd w:val="clear" w:color="auto" w:fill="B4C6E7" w:themeFill="accent5" w:themeFillTint="66"/>
            <w:vAlign w:val="center"/>
          </w:tcPr>
          <w:p w14:paraId="3A8C9BA7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AE347B" w14:paraId="531BF88C" w14:textId="77777777" w:rsidTr="00DE4F8F">
        <w:tc>
          <w:tcPr>
            <w:tcW w:w="203" w:type="pct"/>
          </w:tcPr>
          <w:p w14:paraId="45F7E3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3" w:type="pct"/>
          </w:tcPr>
          <w:p w14:paraId="51D0894E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 xml:space="preserve">Kanun, Yönetmelik ve diğer mevzuatın takibi ve uygulanması </w:t>
            </w:r>
          </w:p>
        </w:tc>
        <w:tc>
          <w:tcPr>
            <w:tcW w:w="950" w:type="pct"/>
          </w:tcPr>
          <w:p w14:paraId="48305C5D" w14:textId="6044946A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22" w:type="pct"/>
          </w:tcPr>
          <w:p w14:paraId="02542C43" w14:textId="767920D3" w:rsidR="00AE347B" w:rsidRPr="00AE347B" w:rsidRDefault="00337688" w:rsidP="00AE347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7232BCF6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69" w:type="pct"/>
          </w:tcPr>
          <w:p w14:paraId="1F88132C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887" w:type="pct"/>
          </w:tcPr>
          <w:p w14:paraId="3393A55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21DDC003" w14:textId="41FE9999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C812600" w14:textId="77777777" w:rsidTr="00DE4F8F">
        <w:tc>
          <w:tcPr>
            <w:tcW w:w="203" w:type="pct"/>
          </w:tcPr>
          <w:p w14:paraId="731AFB4E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3" w:type="pct"/>
          </w:tcPr>
          <w:p w14:paraId="6D27E7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50" w:type="pct"/>
          </w:tcPr>
          <w:p w14:paraId="2EE8352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22" w:type="pct"/>
          </w:tcPr>
          <w:p w14:paraId="1D4CAA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138E88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69" w:type="pct"/>
          </w:tcPr>
          <w:p w14:paraId="1F3E3B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887" w:type="pct"/>
          </w:tcPr>
          <w:p w14:paraId="31801B6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69E2869" w14:textId="4CFE0DF1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9331754" w14:textId="77777777" w:rsidTr="00DE4F8F">
        <w:tc>
          <w:tcPr>
            <w:tcW w:w="203" w:type="pct"/>
          </w:tcPr>
          <w:p w14:paraId="619BB0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3" w:type="pct"/>
          </w:tcPr>
          <w:p w14:paraId="2CCA660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 ve kurum içi günlü, ivedi ve gizli süreli yazıların zamanında hazırlanması, ilgili birim ya da kuruluşlara gönderilmesi</w:t>
            </w:r>
          </w:p>
        </w:tc>
        <w:tc>
          <w:tcPr>
            <w:tcW w:w="950" w:type="pct"/>
          </w:tcPr>
          <w:p w14:paraId="6BB93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22" w:type="pct"/>
          </w:tcPr>
          <w:p w14:paraId="3B8831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5EE281C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14:paraId="212C355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380728C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5821F14E" w14:textId="77777777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E162717" w14:textId="77777777" w:rsidTr="00DE4F8F">
        <w:tc>
          <w:tcPr>
            <w:tcW w:w="203" w:type="pct"/>
          </w:tcPr>
          <w:p w14:paraId="2812AAC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3" w:type="pct"/>
          </w:tcPr>
          <w:p w14:paraId="6F2DCBF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50" w:type="pct"/>
          </w:tcPr>
          <w:p w14:paraId="4AF777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22" w:type="pct"/>
          </w:tcPr>
          <w:p w14:paraId="12BF0454" w14:textId="6EA68FAE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4515B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69" w:type="pct"/>
          </w:tcPr>
          <w:p w14:paraId="6DBC2FB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677FF15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8473055" w14:textId="35816CE8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874D5AB" w14:textId="77777777" w:rsidTr="00DE4F8F">
        <w:tc>
          <w:tcPr>
            <w:tcW w:w="203" w:type="pct"/>
          </w:tcPr>
          <w:p w14:paraId="02E65A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3" w:type="pct"/>
          </w:tcPr>
          <w:p w14:paraId="5A305C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 Kurulu, Fakülte Yönetim Kurulu ve disiplin kurulu kararlarının yazılması ve ilgililere tebliğ edilmesi</w:t>
            </w:r>
          </w:p>
        </w:tc>
        <w:tc>
          <w:tcPr>
            <w:tcW w:w="950" w:type="pct"/>
          </w:tcPr>
          <w:p w14:paraId="0C4A74C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22" w:type="pct"/>
          </w:tcPr>
          <w:p w14:paraId="1F6F5954" w14:textId="733F4FDA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0DC2AD3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69" w:type="pct"/>
          </w:tcPr>
          <w:p w14:paraId="007C6F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40C97F8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VE YAZI İŞLERİ</w:t>
            </w:r>
          </w:p>
          <w:p w14:paraId="538D2297" w14:textId="47A32EA9" w:rsidR="00E808D5" w:rsidRPr="00AE347B" w:rsidRDefault="00E808D5" w:rsidP="008E2024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60CFB8D" w14:textId="77777777" w:rsidTr="00DE4F8F">
        <w:tc>
          <w:tcPr>
            <w:tcW w:w="203" w:type="pct"/>
          </w:tcPr>
          <w:p w14:paraId="6535E0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3" w:type="pct"/>
          </w:tcPr>
          <w:p w14:paraId="5EF8573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50" w:type="pct"/>
          </w:tcPr>
          <w:p w14:paraId="783685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22" w:type="pct"/>
          </w:tcPr>
          <w:p w14:paraId="5EB481D0" w14:textId="3D7729D9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4DE4FB9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Dekanlığımıza iletilen kararlar titizlikle ilgili personellerce uygulanmakta ve takibi yapılmaktadır.</w:t>
            </w:r>
          </w:p>
        </w:tc>
        <w:tc>
          <w:tcPr>
            <w:tcW w:w="569" w:type="pct"/>
          </w:tcPr>
          <w:p w14:paraId="64942FA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23F45603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Yönetim Kurulu</w:t>
            </w:r>
          </w:p>
          <w:p w14:paraId="6F9463BD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Dekan </w:t>
            </w:r>
          </w:p>
          <w:p w14:paraId="2AC341C6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Sekreteri</w:t>
            </w:r>
          </w:p>
          <w:p w14:paraId="6DCAB83C" w14:textId="5387A517" w:rsidR="00E808D5" w:rsidRPr="00E808D5" w:rsidRDefault="00E808D5" w:rsidP="008E2024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FBF0300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Bölüm Başkanları </w:t>
            </w:r>
          </w:p>
          <w:p w14:paraId="7DE2E812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AE347B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AE347B" w14:paraId="2C3089C8" w14:textId="77777777" w:rsidTr="00DE4F8F">
        <w:tc>
          <w:tcPr>
            <w:tcW w:w="203" w:type="pct"/>
          </w:tcPr>
          <w:p w14:paraId="2B1B1F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3" w:type="pct"/>
          </w:tcPr>
          <w:p w14:paraId="4AA56AF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50" w:type="pct"/>
          </w:tcPr>
          <w:p w14:paraId="47048C3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22" w:type="pct"/>
          </w:tcPr>
          <w:p w14:paraId="148342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0A9C82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69" w:type="pct"/>
          </w:tcPr>
          <w:p w14:paraId="31585D7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2605CEF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SATIN ALMA BİRİMİ</w:t>
            </w:r>
          </w:p>
          <w:p w14:paraId="7C46ECFB" w14:textId="166ECDCC" w:rsidR="00E808D5" w:rsidRPr="00E808D5" w:rsidRDefault="00E808D5" w:rsidP="008E2024">
            <w:pPr>
              <w:pStyle w:val="AralkYok"/>
              <w:ind w:left="32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7E16019" w14:textId="264BE4A7" w:rsidR="00AE347B" w:rsidRPr="00AE347B" w:rsidRDefault="008E2024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:rsidR="00AE347B" w:rsidRPr="00AE347B" w14:paraId="4EECC71E" w14:textId="77777777" w:rsidTr="00DE4F8F">
        <w:tc>
          <w:tcPr>
            <w:tcW w:w="203" w:type="pct"/>
          </w:tcPr>
          <w:p w14:paraId="5D228A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3" w:type="pct"/>
          </w:tcPr>
          <w:p w14:paraId="1120CB9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50" w:type="pct"/>
          </w:tcPr>
          <w:p w14:paraId="322E75D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22" w:type="pct"/>
          </w:tcPr>
          <w:p w14:paraId="3B6B45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96" w:type="pct"/>
          </w:tcPr>
          <w:p w14:paraId="1D52057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69" w:type="pct"/>
          </w:tcPr>
          <w:p w14:paraId="263FE96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</w:tcPr>
          <w:p w14:paraId="35D3C19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TAŞINIR VE AYNİYET</w:t>
            </w:r>
          </w:p>
          <w:p w14:paraId="17B67D2C" w14:textId="301A69B6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95DE4FA" w14:textId="77777777" w:rsidTr="00DE4F8F">
        <w:tc>
          <w:tcPr>
            <w:tcW w:w="203" w:type="pct"/>
          </w:tcPr>
          <w:p w14:paraId="6C9FA45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3" w:type="pct"/>
          </w:tcPr>
          <w:p w14:paraId="43705A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50" w:type="pct"/>
          </w:tcPr>
          <w:p w14:paraId="4844F4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22" w:type="pct"/>
          </w:tcPr>
          <w:p w14:paraId="186657A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93D95B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69" w:type="pct"/>
          </w:tcPr>
          <w:p w14:paraId="3AA60EA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887" w:type="pct"/>
          </w:tcPr>
          <w:p w14:paraId="0F8C45AE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MUTEMET</w:t>
            </w:r>
          </w:p>
          <w:p w14:paraId="1359DC1C" w14:textId="005636E0" w:rsidR="00AE347B" w:rsidRPr="00AE347B" w:rsidRDefault="00AE347B" w:rsidP="008E2024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AD5E66C" w14:textId="77777777" w:rsidTr="00DE4F8F">
        <w:tc>
          <w:tcPr>
            <w:tcW w:w="203" w:type="pct"/>
          </w:tcPr>
          <w:p w14:paraId="22263D9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3" w:type="pct"/>
          </w:tcPr>
          <w:p w14:paraId="30166E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Bütçenin hazırlanması ve yönetimi</w:t>
            </w:r>
          </w:p>
        </w:tc>
        <w:tc>
          <w:tcPr>
            <w:tcW w:w="950" w:type="pct"/>
          </w:tcPr>
          <w:p w14:paraId="6786D82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Bütçe açığı, para ve hapis cezası, mali kayıp</w:t>
            </w:r>
          </w:p>
        </w:tc>
        <w:tc>
          <w:tcPr>
            <w:tcW w:w="522" w:type="pct"/>
          </w:tcPr>
          <w:p w14:paraId="3B1F4E6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3B10618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Her yıl kurum olarak, ilgili tüm paydaşlardan faaliyet alanlarımıza yönelik talepler toplanmakta ilgili yılın Temmuz ayında tahmini bütçe teklifler üst makama iletilmektedir.</w:t>
            </w:r>
          </w:p>
        </w:tc>
        <w:tc>
          <w:tcPr>
            <w:tcW w:w="569" w:type="pct"/>
          </w:tcPr>
          <w:p w14:paraId="7E7B09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887" w:type="pct"/>
          </w:tcPr>
          <w:p w14:paraId="5120E02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Fakülte Yönetim Kurulu, </w:t>
            </w:r>
          </w:p>
          <w:p w14:paraId="754545C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Dekan, </w:t>
            </w:r>
          </w:p>
          <w:p w14:paraId="7D941520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4FB6170" w14:textId="33D9D7C3" w:rsidR="00AE347B" w:rsidRPr="00E808D5" w:rsidRDefault="00AE347B" w:rsidP="008E2024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6443B73" w14:textId="77777777" w:rsidTr="00DE4F8F">
        <w:tc>
          <w:tcPr>
            <w:tcW w:w="203" w:type="pct"/>
          </w:tcPr>
          <w:p w14:paraId="6AF583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3" w:type="pct"/>
          </w:tcPr>
          <w:p w14:paraId="67CEC6C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50" w:type="pct"/>
          </w:tcPr>
          <w:p w14:paraId="02ADE3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22" w:type="pct"/>
          </w:tcPr>
          <w:p w14:paraId="640F62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3D4B7E4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69" w:type="pct"/>
          </w:tcPr>
          <w:p w14:paraId="143801D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887" w:type="pct"/>
          </w:tcPr>
          <w:p w14:paraId="43ABA1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Dekanlık Makamı</w:t>
            </w:r>
          </w:p>
          <w:p w14:paraId="2A4F15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Başkanlıkları</w:t>
            </w:r>
          </w:p>
          <w:p w14:paraId="36E80BBC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7F170DF9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2801221" w14:textId="68FCF56D" w:rsidR="00AE347B" w:rsidRPr="00E808D5" w:rsidRDefault="00AE347B" w:rsidP="008E2024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822243A" w14:textId="77777777" w:rsidTr="00DE4F8F">
        <w:tc>
          <w:tcPr>
            <w:tcW w:w="203" w:type="pct"/>
          </w:tcPr>
          <w:p w14:paraId="32A9A53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3" w:type="pct"/>
          </w:tcPr>
          <w:p w14:paraId="3133DA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50" w:type="pct"/>
          </w:tcPr>
          <w:p w14:paraId="2D6401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22" w:type="pct"/>
          </w:tcPr>
          <w:p w14:paraId="708B5EA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DBBBB9C" w14:textId="2F1BC2F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yapılması, hem dekanlıkça takip edilmekte, hem de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BSY sistemi ile izlenmektedir.  </w:t>
            </w:r>
          </w:p>
        </w:tc>
        <w:tc>
          <w:tcPr>
            <w:tcW w:w="569" w:type="pct"/>
          </w:tcPr>
          <w:p w14:paraId="1619225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887" w:type="pct"/>
          </w:tcPr>
          <w:p w14:paraId="5D4664AD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0B744FB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01DFD7F9" w14:textId="77777777" w:rsidTr="00DE4F8F">
        <w:tc>
          <w:tcPr>
            <w:tcW w:w="203" w:type="pct"/>
          </w:tcPr>
          <w:p w14:paraId="20D4804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3" w:type="pct"/>
          </w:tcPr>
          <w:p w14:paraId="13497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50" w:type="pct"/>
          </w:tcPr>
          <w:p w14:paraId="046F298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22" w:type="pct"/>
          </w:tcPr>
          <w:p w14:paraId="37993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0C81B4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programları ilgili yönetmelik ve akademik takvim çerçevesinde hazırlanmakta ve zamanında ilan edilmektedir. </w:t>
            </w:r>
          </w:p>
        </w:tc>
        <w:tc>
          <w:tcPr>
            <w:tcW w:w="569" w:type="pct"/>
          </w:tcPr>
          <w:p w14:paraId="66E349F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887" w:type="pct"/>
          </w:tcPr>
          <w:p w14:paraId="3899DDD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</w:tc>
      </w:tr>
      <w:tr w:rsidR="00AE347B" w:rsidRPr="00AE347B" w14:paraId="4A0D1727" w14:textId="77777777" w:rsidTr="00DE4F8F">
        <w:tc>
          <w:tcPr>
            <w:tcW w:w="203" w:type="pct"/>
          </w:tcPr>
          <w:p w14:paraId="036D29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3" w:type="pct"/>
          </w:tcPr>
          <w:p w14:paraId="0DE39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kâğıtlarının okunması, başarı notlarının zamanında elektronik ortama aktarılması</w:t>
            </w:r>
          </w:p>
        </w:tc>
        <w:tc>
          <w:tcPr>
            <w:tcW w:w="950" w:type="pct"/>
          </w:tcPr>
          <w:p w14:paraId="6EFE86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zaman kaybı, soruşturma, cezai yaptırımlar, itibar kaybı</w:t>
            </w:r>
          </w:p>
        </w:tc>
        <w:tc>
          <w:tcPr>
            <w:tcW w:w="522" w:type="pct"/>
          </w:tcPr>
          <w:p w14:paraId="3589779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75BD91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69" w:type="pct"/>
          </w:tcPr>
          <w:p w14:paraId="04923D2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887" w:type="pct"/>
          </w:tcPr>
          <w:p w14:paraId="7940E7E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4001B615" w14:textId="77777777" w:rsidTr="00DE4F8F">
        <w:tc>
          <w:tcPr>
            <w:tcW w:w="203" w:type="pct"/>
          </w:tcPr>
          <w:p w14:paraId="733E20C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3" w:type="pct"/>
          </w:tcPr>
          <w:p w14:paraId="317CB54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50" w:type="pct"/>
          </w:tcPr>
          <w:p w14:paraId="184270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22" w:type="pct"/>
          </w:tcPr>
          <w:p w14:paraId="47EB81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30E3A88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kağıtlar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hazır hale getirilmekte, toner ve kağıt miktarı bir yıl önce hazırlanan bütçede belirtilmektedir.</w:t>
            </w:r>
          </w:p>
        </w:tc>
        <w:tc>
          <w:tcPr>
            <w:tcW w:w="569" w:type="pct"/>
          </w:tcPr>
          <w:p w14:paraId="28C5179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Sınav Öncesi</w:t>
            </w:r>
          </w:p>
        </w:tc>
        <w:tc>
          <w:tcPr>
            <w:tcW w:w="887" w:type="pct"/>
          </w:tcPr>
          <w:p w14:paraId="2C25C4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3CB9FB11" w14:textId="77777777" w:rsidTr="00DE4F8F">
        <w:tc>
          <w:tcPr>
            <w:tcW w:w="203" w:type="pct"/>
          </w:tcPr>
          <w:p w14:paraId="1CB31D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3" w:type="pct"/>
          </w:tcPr>
          <w:p w14:paraId="1E841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950" w:type="pct"/>
          </w:tcPr>
          <w:p w14:paraId="4C4D1B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22" w:type="pct"/>
          </w:tcPr>
          <w:p w14:paraId="45332F5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57AC546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Bu hususta Üniversitemiz bünyesinde ilgili koordinatörlük ile birlikte çalışılmakta, bölüm kurulu kararları bölümlerce takip edilmektedir.</w:t>
            </w:r>
          </w:p>
        </w:tc>
        <w:tc>
          <w:tcPr>
            <w:tcW w:w="569" w:type="pct"/>
          </w:tcPr>
          <w:p w14:paraId="092EE2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66C3E9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4D8FA1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12FF587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68F291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292F349" w14:textId="77777777" w:rsidTr="00DE4F8F">
        <w:tc>
          <w:tcPr>
            <w:tcW w:w="203" w:type="pct"/>
          </w:tcPr>
          <w:p w14:paraId="45E1A0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73" w:type="pct"/>
          </w:tcPr>
          <w:p w14:paraId="7BD0989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50" w:type="pct"/>
          </w:tcPr>
          <w:p w14:paraId="0C7AF68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22" w:type="pct"/>
          </w:tcPr>
          <w:p w14:paraId="644F93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96" w:type="pct"/>
          </w:tcPr>
          <w:p w14:paraId="5BD29BAE" w14:textId="17450511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69" w:type="pct"/>
          </w:tcPr>
          <w:p w14:paraId="39AB50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7C3F2C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5FD4677C" w14:textId="6D441C42" w:rsidR="00E808D5" w:rsidRPr="00AE347B" w:rsidRDefault="00E808D5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727BB13" w14:textId="77777777" w:rsidTr="00DE4F8F">
        <w:tc>
          <w:tcPr>
            <w:tcW w:w="203" w:type="pct"/>
          </w:tcPr>
          <w:p w14:paraId="0A8C1F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3" w:type="pct"/>
          </w:tcPr>
          <w:p w14:paraId="3C99701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950" w:type="pct"/>
          </w:tcPr>
          <w:p w14:paraId="656EE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Kaybolma riski</w:t>
            </w:r>
          </w:p>
        </w:tc>
        <w:tc>
          <w:tcPr>
            <w:tcW w:w="522" w:type="pct"/>
          </w:tcPr>
          <w:p w14:paraId="6B0622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96" w:type="pct"/>
          </w:tcPr>
          <w:p w14:paraId="65534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Kilitli özel dolaplarda muhafaza edilmesi</w:t>
            </w:r>
          </w:p>
          <w:p w14:paraId="473D0B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14:paraId="0BE7199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3BCE359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7216938F" w14:textId="378465DA" w:rsidR="00E808D5" w:rsidRPr="00AE347B" w:rsidRDefault="00E808D5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AB6D4B9" w14:textId="77777777" w:rsidTr="00DE4F8F">
        <w:tc>
          <w:tcPr>
            <w:tcW w:w="203" w:type="pct"/>
          </w:tcPr>
          <w:p w14:paraId="7A40B7E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3" w:type="pct"/>
          </w:tcPr>
          <w:p w14:paraId="1FDCA16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50" w:type="pct"/>
          </w:tcPr>
          <w:p w14:paraId="6E2940D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22" w:type="pct"/>
          </w:tcPr>
          <w:p w14:paraId="3FA95012" w14:textId="7FBB10D1" w:rsidR="00AE347B" w:rsidRPr="00AE347B" w:rsidRDefault="00337688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96" w:type="pct"/>
          </w:tcPr>
          <w:p w14:paraId="5D71A5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69" w:type="pct"/>
          </w:tcPr>
          <w:p w14:paraId="6BF8F65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887" w:type="pct"/>
          </w:tcPr>
          <w:p w14:paraId="490FE40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İşleri</w:t>
            </w:r>
          </w:p>
          <w:p w14:paraId="450E8FFE" w14:textId="326A6A7F" w:rsidR="00AE347B" w:rsidRPr="00E808D5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2D921B4" w14:textId="77777777" w:rsidTr="00DE4F8F">
        <w:tc>
          <w:tcPr>
            <w:tcW w:w="203" w:type="pct"/>
          </w:tcPr>
          <w:p w14:paraId="330B98B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3" w:type="pct"/>
          </w:tcPr>
          <w:p w14:paraId="5EEDB62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arası, kurum içi uyum ve koordinasyonunun sağlanması</w:t>
            </w:r>
          </w:p>
        </w:tc>
        <w:tc>
          <w:tcPr>
            <w:tcW w:w="950" w:type="pct"/>
          </w:tcPr>
          <w:p w14:paraId="60731AE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22" w:type="pct"/>
          </w:tcPr>
          <w:p w14:paraId="3ADB73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0FE2F59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69" w:type="pct"/>
          </w:tcPr>
          <w:p w14:paraId="10F55B0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2FB30BD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AE347B" w14:paraId="1668F261" w14:textId="77777777" w:rsidTr="00DE4F8F">
        <w:tc>
          <w:tcPr>
            <w:tcW w:w="203" w:type="pct"/>
          </w:tcPr>
          <w:p w14:paraId="5EEEA28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3" w:type="pct"/>
          </w:tcPr>
          <w:p w14:paraId="03DDC8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50" w:type="pct"/>
          </w:tcPr>
          <w:p w14:paraId="6E4E5FE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22" w:type="pct"/>
          </w:tcPr>
          <w:p w14:paraId="4FC1C1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5723D94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Öğrencilerimizin ve personelimizin bu hususta bilgilendirilmeleri Dekanlıkça ve Üniversitemiz Proje ve Teknoloji Ofisi Koordinatörlüğünce yapılmaktadır. Uygulamalara yönelik eğitimler verilmektedir.  </w:t>
            </w:r>
          </w:p>
        </w:tc>
        <w:tc>
          <w:tcPr>
            <w:tcW w:w="569" w:type="pct"/>
          </w:tcPr>
          <w:p w14:paraId="1553B0D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46B31FF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60DDF8A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3E9837A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09B71C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87908F5" w14:textId="77777777" w:rsidTr="00DE4F8F">
        <w:tc>
          <w:tcPr>
            <w:tcW w:w="203" w:type="pct"/>
          </w:tcPr>
          <w:p w14:paraId="53273C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73" w:type="pct"/>
          </w:tcPr>
          <w:p w14:paraId="2340E6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Kurum içi sorumluluk ve yetki kullanımı</w:t>
            </w:r>
          </w:p>
        </w:tc>
        <w:tc>
          <w:tcPr>
            <w:tcW w:w="950" w:type="pct"/>
          </w:tcPr>
          <w:p w14:paraId="0BE72E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İşlerin aksaması, zaman kaybı</w:t>
            </w:r>
          </w:p>
        </w:tc>
        <w:tc>
          <w:tcPr>
            <w:tcW w:w="522" w:type="pct"/>
          </w:tcPr>
          <w:p w14:paraId="3EDF2F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1330D56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Fakültemize bağlı tüm alt birimlerin görev ve sorumlukları hem ilgili mevzuatlar ile belirlenmiş hem de Dekanlık Makamınca ilgililere tebliğ edilmiş, sürekli erişim içinde web sayfamızda yayımlanmıştır.</w:t>
            </w:r>
          </w:p>
        </w:tc>
        <w:tc>
          <w:tcPr>
            <w:tcW w:w="569" w:type="pct"/>
          </w:tcPr>
          <w:p w14:paraId="537675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887" w:type="pct"/>
          </w:tcPr>
          <w:p w14:paraId="0285AC9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 </w:t>
            </w:r>
          </w:p>
          <w:p w14:paraId="5D3B5D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49760B4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509C03F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0C507AF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3FFC86" w14:textId="77777777" w:rsidR="00AE347B" w:rsidRPr="00E808D5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068A089C" w14:textId="260895E0" w:rsidR="00E808D5" w:rsidRPr="00E808D5" w:rsidRDefault="00E808D5" w:rsidP="008E2024">
            <w:pPr>
              <w:pStyle w:val="AralkYok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3DA6724" w14:textId="77777777" w:rsidTr="00DE4F8F">
        <w:tc>
          <w:tcPr>
            <w:tcW w:w="203" w:type="pct"/>
          </w:tcPr>
          <w:p w14:paraId="565999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3" w:type="pct"/>
          </w:tcPr>
          <w:p w14:paraId="465D501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Faaliyet Raporlarının hazırlanması ve yayınlanması</w:t>
            </w:r>
          </w:p>
        </w:tc>
        <w:tc>
          <w:tcPr>
            <w:tcW w:w="950" w:type="pct"/>
          </w:tcPr>
          <w:p w14:paraId="04D64AE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22" w:type="pct"/>
          </w:tcPr>
          <w:p w14:paraId="2C03B9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5F84D6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Faaliyet raporlarımız Strateji ve Geliştirme Dairesi Başkanlığından yıllık olarak istenmekte, Dekanlığımızca yıllık olarak raporlanıp web sayfamızda düzenli olarak yıl bazında yayımlanmaktadır.  </w:t>
            </w:r>
          </w:p>
        </w:tc>
        <w:tc>
          <w:tcPr>
            <w:tcW w:w="569" w:type="pct"/>
          </w:tcPr>
          <w:p w14:paraId="41BDB9B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887" w:type="pct"/>
          </w:tcPr>
          <w:p w14:paraId="268B5B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B39A7E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DEB457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45D4224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763394A5" w14:textId="2C49CB4A" w:rsidR="00AE347B" w:rsidRPr="00AE347B" w:rsidRDefault="00AE347B" w:rsidP="008E2024">
            <w:pPr>
              <w:pStyle w:val="AralkYok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6F30600" w14:textId="77777777" w:rsidTr="00DE4F8F">
        <w:tc>
          <w:tcPr>
            <w:tcW w:w="203" w:type="pct"/>
          </w:tcPr>
          <w:p w14:paraId="5CB3AA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3" w:type="pct"/>
          </w:tcPr>
          <w:p w14:paraId="73ACEC7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Performans Programı, mali faaliyet raporu, idari birim faaliyet raporu, iç kontrol eylem planı, stratejik birim faaliyet raporlarının hazırlanması ve yayınlanması</w:t>
            </w:r>
          </w:p>
        </w:tc>
        <w:tc>
          <w:tcPr>
            <w:tcW w:w="950" w:type="pct"/>
          </w:tcPr>
          <w:p w14:paraId="4BF96C1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kaybı, İşlerin aksaması, zaman kaybı</w:t>
            </w:r>
          </w:p>
        </w:tc>
        <w:tc>
          <w:tcPr>
            <w:tcW w:w="522" w:type="pct"/>
          </w:tcPr>
          <w:p w14:paraId="3AB3E7B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96" w:type="pct"/>
          </w:tcPr>
          <w:p w14:paraId="22CC8CD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Bahse konu raporlar Dekanlığımız tarafından hazırlanmış ve yıllık olarak yenilenmekte olup yıl yıl web sayfamızda kamuoyu ile paylaşılmaktadır.</w:t>
            </w:r>
          </w:p>
        </w:tc>
        <w:tc>
          <w:tcPr>
            <w:tcW w:w="569" w:type="pct"/>
          </w:tcPr>
          <w:p w14:paraId="1C44645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887" w:type="pct"/>
          </w:tcPr>
          <w:p w14:paraId="06C9E24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9F9952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6DAF1B3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58772A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9DE6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6D77C5FA" w14:textId="302C3DC0" w:rsidR="00AE347B" w:rsidRPr="00AE347B" w:rsidRDefault="00AE347B" w:rsidP="008E202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AE347B">
      <w:pPr>
        <w:jc w:val="both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32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2383"/>
        <w:gridCol w:w="4842"/>
        <w:gridCol w:w="3250"/>
        <w:gridCol w:w="4829"/>
      </w:tblGrid>
      <w:tr w:rsidR="00DE4F8F" w:rsidRPr="00A34BCD" w14:paraId="2E253EF4" w14:textId="77777777" w:rsidTr="00DE4F8F">
        <w:trPr>
          <w:trHeight w:val="301"/>
        </w:trPr>
        <w:tc>
          <w:tcPr>
            <w:tcW w:w="7225" w:type="dxa"/>
            <w:gridSpan w:val="2"/>
          </w:tcPr>
          <w:p w14:paraId="140F50A1" w14:textId="77777777" w:rsidR="00DE4F8F" w:rsidRPr="001E2007" w:rsidRDefault="00DE4F8F" w:rsidP="00DE4F8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007">
              <w:rPr>
                <w:rFonts w:ascii="Times New Roman" w:hAnsi="Times New Roman" w:cs="Times New Roman"/>
                <w:b/>
                <w:sz w:val="18"/>
                <w:szCs w:val="18"/>
              </w:rPr>
              <w:t>Hazırlayan</w:t>
            </w:r>
          </w:p>
        </w:tc>
        <w:tc>
          <w:tcPr>
            <w:tcW w:w="8079" w:type="dxa"/>
            <w:gridSpan w:val="2"/>
            <w:vAlign w:val="center"/>
          </w:tcPr>
          <w:p w14:paraId="2A94EBC2" w14:textId="77777777" w:rsidR="00DE4F8F" w:rsidRPr="008938FE" w:rsidRDefault="00DE4F8F" w:rsidP="00DE4F8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Onaylanan</w:t>
            </w:r>
          </w:p>
        </w:tc>
      </w:tr>
      <w:tr w:rsidR="00DE4F8F" w:rsidRPr="00A34BCD" w14:paraId="11570B6F" w14:textId="77777777" w:rsidTr="00DE4F8F">
        <w:trPr>
          <w:trHeight w:val="404"/>
        </w:trPr>
        <w:tc>
          <w:tcPr>
            <w:tcW w:w="2383" w:type="dxa"/>
            <w:vAlign w:val="center"/>
          </w:tcPr>
          <w:p w14:paraId="65ECE96F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4842" w:type="dxa"/>
            <w:vAlign w:val="center"/>
          </w:tcPr>
          <w:p w14:paraId="4CC43C83" w14:textId="1DBFB1BF" w:rsidR="00DE4F8F" w:rsidRPr="008938FE" w:rsidRDefault="00DE529B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Yaşar ÇAKICI </w:t>
            </w:r>
            <w:r w:rsidR="00DE4F8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="00DE4F8F">
              <w:rPr>
                <w:rFonts w:ascii="Times New Roman" w:eastAsia="Times New Roman" w:hAnsi="Times New Roman" w:cs="Times New Roman"/>
                <w:sz w:val="18"/>
                <w:szCs w:val="18"/>
              </w:rPr>
              <w:t>Fak.Sek</w:t>
            </w:r>
            <w:proofErr w:type="spellEnd"/>
            <w:proofErr w:type="gramEnd"/>
            <w:r w:rsidR="00DE4F8F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3250" w:type="dxa"/>
            <w:vAlign w:val="center"/>
          </w:tcPr>
          <w:p w14:paraId="1F524ABA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4829" w:type="dxa"/>
            <w:vAlign w:val="center"/>
          </w:tcPr>
          <w:p w14:paraId="330992F2" w14:textId="673707B3" w:rsidR="00DE4F8F" w:rsidRPr="008938FE" w:rsidRDefault="00DE529B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Prof.Dr.İ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YALÇIN </w:t>
            </w:r>
            <w:r w:rsidR="00DE4F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(Dekan)</w:t>
            </w:r>
          </w:p>
        </w:tc>
      </w:tr>
      <w:tr w:rsidR="00DE4F8F" w:rsidRPr="00A34BCD" w14:paraId="0B6CB40D" w14:textId="77777777" w:rsidTr="00DE4F8F">
        <w:trPr>
          <w:trHeight w:val="457"/>
        </w:trPr>
        <w:tc>
          <w:tcPr>
            <w:tcW w:w="2383" w:type="dxa"/>
            <w:vAlign w:val="center"/>
          </w:tcPr>
          <w:p w14:paraId="535E59AB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4842" w:type="dxa"/>
            <w:vAlign w:val="center"/>
          </w:tcPr>
          <w:p w14:paraId="65A2E5BD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 w14:paraId="35545DBA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38FE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4829" w:type="dxa"/>
            <w:vAlign w:val="center"/>
          </w:tcPr>
          <w:p w14:paraId="009C68CA" w14:textId="77777777" w:rsidR="00DE4F8F" w:rsidRPr="008938FE" w:rsidRDefault="00DE4F8F" w:rsidP="00DE4F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0915AB7" w14:textId="77777777" w:rsidR="001B483B" w:rsidRPr="00AE347B" w:rsidRDefault="001B483B" w:rsidP="00AE347B">
      <w:pPr>
        <w:jc w:val="both"/>
        <w:rPr>
          <w:sz w:val="18"/>
          <w:szCs w:val="18"/>
        </w:rPr>
      </w:pPr>
    </w:p>
    <w:p w14:paraId="6123A43F" w14:textId="77777777" w:rsidR="00DE4F8F" w:rsidRDefault="00DE4F8F" w:rsidP="00DE4F8F">
      <w:pPr>
        <w:jc w:val="both"/>
        <w:rPr>
          <w:sz w:val="16"/>
          <w:szCs w:val="16"/>
        </w:rPr>
      </w:pPr>
    </w:p>
    <w:p w14:paraId="6B8EB47F" w14:textId="77777777" w:rsidR="001B483B" w:rsidRPr="00AE347B" w:rsidRDefault="001B483B" w:rsidP="00AE347B">
      <w:pPr>
        <w:jc w:val="both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01172"/>
    <w:rsid w:val="00116C42"/>
    <w:rsid w:val="001722DC"/>
    <w:rsid w:val="001A28E9"/>
    <w:rsid w:val="001A43A0"/>
    <w:rsid w:val="001B268D"/>
    <w:rsid w:val="001B2909"/>
    <w:rsid w:val="001B483B"/>
    <w:rsid w:val="002B020D"/>
    <w:rsid w:val="00337688"/>
    <w:rsid w:val="00375D06"/>
    <w:rsid w:val="00397B11"/>
    <w:rsid w:val="004F0F89"/>
    <w:rsid w:val="004F45F5"/>
    <w:rsid w:val="005211CE"/>
    <w:rsid w:val="006D0102"/>
    <w:rsid w:val="007D6076"/>
    <w:rsid w:val="00856DCA"/>
    <w:rsid w:val="008E2024"/>
    <w:rsid w:val="00952427"/>
    <w:rsid w:val="00AB2B4D"/>
    <w:rsid w:val="00AE347B"/>
    <w:rsid w:val="00BB467C"/>
    <w:rsid w:val="00D2197F"/>
    <w:rsid w:val="00DE4F8F"/>
    <w:rsid w:val="00DE529B"/>
    <w:rsid w:val="00E808D5"/>
    <w:rsid w:val="00EE3A46"/>
    <w:rsid w:val="00F54647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styleId="TabloKlavuzuAk">
    <w:name w:val="Grid Table Light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2025-10-27T12:54:00Z</dcterms:created>
  <dcterms:modified xsi:type="dcterms:W3CDTF">2025-10-27T12:54:00Z</dcterms:modified>
</cp:coreProperties>
</file>