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0"/>
        <w:gridCol w:w="1512"/>
        <w:gridCol w:w="393"/>
        <w:gridCol w:w="2434"/>
        <w:gridCol w:w="2580"/>
        <w:gridCol w:w="2649"/>
        <w:gridCol w:w="1049"/>
        <w:gridCol w:w="368"/>
        <w:gridCol w:w="1258"/>
        <w:gridCol w:w="922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1C455844" w:rsidR="006D0102" w:rsidRPr="00AE347B" w:rsidRDefault="008E2024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>
              <w:rPr>
                <w:b/>
                <w:color w:val="EE0000"/>
                <w:szCs w:val="20"/>
                <w:lang w:val="tr-TR"/>
              </w:rPr>
              <w:t>GÜZEL SANATLAR</w:t>
            </w:r>
            <w:r w:rsidR="001B2909" w:rsidRPr="00AE347B">
              <w:rPr>
                <w:b/>
                <w:color w:val="EE0000"/>
                <w:szCs w:val="20"/>
                <w:lang w:val="tr-TR"/>
              </w:rPr>
              <w:t xml:space="preserve"> 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0679D0" w:rsidR="006D0102" w:rsidRPr="00FB115C" w:rsidRDefault="00FB115C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23/10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2B7018BB" w:rsidR="006D0102" w:rsidRPr="00FB115C" w:rsidRDefault="008E2024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8E2024">
              <w:rPr>
                <w:color w:val="000000" w:themeColor="text1"/>
                <w:sz w:val="20"/>
                <w:szCs w:val="20"/>
                <w:lang w:val="tr-TR"/>
              </w:rPr>
              <w:t>https://gsf.dpu.edu.tr/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637D2362" w:rsidR="00AE347B" w:rsidRPr="00FB115C" w:rsidRDefault="008E2024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GÜZEL SANATLAR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4973" w:type="pct"/>
        <w:tblLook w:val="04A0" w:firstRow="1" w:lastRow="0" w:firstColumn="1" w:lastColumn="0" w:noHBand="0" w:noVBand="1"/>
      </w:tblPr>
      <w:tblGrid>
        <w:gridCol w:w="621"/>
        <w:gridCol w:w="2366"/>
        <w:gridCol w:w="2908"/>
        <w:gridCol w:w="1598"/>
        <w:gridCol w:w="3355"/>
        <w:gridCol w:w="1742"/>
        <w:gridCol w:w="2715"/>
      </w:tblGrid>
      <w:tr w:rsidR="00AE347B" w:rsidRPr="00AE347B" w14:paraId="01341435" w14:textId="77777777" w:rsidTr="00DE4F8F">
        <w:tc>
          <w:tcPr>
            <w:tcW w:w="203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73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50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22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96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6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887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DE4F8F">
        <w:tc>
          <w:tcPr>
            <w:tcW w:w="203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3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50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22" w:type="pct"/>
          </w:tcPr>
          <w:p w14:paraId="02542C43" w14:textId="767920D3" w:rsidR="00AE347B" w:rsidRPr="00AE347B" w:rsidRDefault="00337688" w:rsidP="00AE34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6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887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DE4F8F">
        <w:tc>
          <w:tcPr>
            <w:tcW w:w="203" w:type="pct"/>
          </w:tcPr>
          <w:p w14:paraId="731AFB4E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3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50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22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6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887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4CFE0DF1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9331754" w14:textId="77777777" w:rsidTr="00DE4F8F">
        <w:tc>
          <w:tcPr>
            <w:tcW w:w="203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3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50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22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DE4F8F">
        <w:tc>
          <w:tcPr>
            <w:tcW w:w="203" w:type="pct"/>
          </w:tcPr>
          <w:p w14:paraId="2812AAC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50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22" w:type="pct"/>
          </w:tcPr>
          <w:p w14:paraId="12BF0454" w14:textId="6EA68FAE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6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DE4F8F">
        <w:tc>
          <w:tcPr>
            <w:tcW w:w="203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3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50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22" w:type="pct"/>
          </w:tcPr>
          <w:p w14:paraId="1F6F5954" w14:textId="733F4FDA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6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40C97F8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VE YAZI İŞLERİ</w:t>
            </w:r>
          </w:p>
          <w:p w14:paraId="538D2297" w14:textId="47A32EA9" w:rsidR="00E808D5" w:rsidRPr="00AE347B" w:rsidRDefault="00E808D5" w:rsidP="008E2024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DE4F8F">
        <w:tc>
          <w:tcPr>
            <w:tcW w:w="203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773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50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22" w:type="pct"/>
          </w:tcPr>
          <w:p w14:paraId="5EB481D0" w14:textId="3D7729D9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Dekanlığımıza iletilen kararlar titizlikle ilgili personellerce uygulanmakta ve takibi yapılmaktadır.</w:t>
            </w:r>
          </w:p>
        </w:tc>
        <w:tc>
          <w:tcPr>
            <w:tcW w:w="56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5387A517" w:rsidR="00E808D5" w:rsidRPr="00E808D5" w:rsidRDefault="00E808D5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DE4F8F">
        <w:tc>
          <w:tcPr>
            <w:tcW w:w="203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3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50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22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6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166ECDCC" w:rsidR="00E808D5" w:rsidRPr="00E808D5" w:rsidRDefault="00E808D5" w:rsidP="008E2024">
            <w:pPr>
              <w:pStyle w:val="AralkYok"/>
              <w:ind w:left="32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7E16019" w14:textId="264BE4A7" w:rsidR="00AE347B" w:rsidRPr="00AE347B" w:rsidRDefault="008E2024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AE347B" w:rsidRPr="00AE347B" w14:paraId="4EECC71E" w14:textId="77777777" w:rsidTr="00DE4F8F">
        <w:tc>
          <w:tcPr>
            <w:tcW w:w="203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3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50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22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6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</w:tcPr>
          <w:p w14:paraId="35D3C19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17B67D2C" w14:textId="301A69B6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DE4F8F">
        <w:tc>
          <w:tcPr>
            <w:tcW w:w="203" w:type="pct"/>
          </w:tcPr>
          <w:p w14:paraId="6C9FA45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3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50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22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6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887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1359DC1C" w14:textId="005636E0" w:rsidR="00AE347B" w:rsidRPr="00AE347B" w:rsidRDefault="00AE347B" w:rsidP="008E2024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DE4F8F">
        <w:tc>
          <w:tcPr>
            <w:tcW w:w="203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3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50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22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6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887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33D9D7C3" w:rsidR="00AE347B" w:rsidRPr="00E808D5" w:rsidRDefault="00AE347B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6443B73" w14:textId="77777777" w:rsidTr="00DE4F8F">
        <w:tc>
          <w:tcPr>
            <w:tcW w:w="203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3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50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22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6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887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68FCF56D" w:rsidR="00AE347B" w:rsidRPr="00E808D5" w:rsidRDefault="00AE347B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822243A" w14:textId="77777777" w:rsidTr="00DE4F8F">
        <w:tc>
          <w:tcPr>
            <w:tcW w:w="203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3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50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6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887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DE4F8F">
        <w:tc>
          <w:tcPr>
            <w:tcW w:w="203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3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50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22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6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887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DE4F8F">
        <w:tc>
          <w:tcPr>
            <w:tcW w:w="203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773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50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22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6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887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DE4F8F">
        <w:tc>
          <w:tcPr>
            <w:tcW w:w="203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3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50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22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6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887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DE4F8F">
        <w:tc>
          <w:tcPr>
            <w:tcW w:w="203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3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50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22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6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DE4F8F">
        <w:tc>
          <w:tcPr>
            <w:tcW w:w="203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3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50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22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6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5FD4677C" w14:textId="6D441C42" w:rsidR="00E808D5" w:rsidRPr="00AE347B" w:rsidRDefault="00E808D5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727BB13" w14:textId="77777777" w:rsidTr="00DE4F8F">
        <w:tc>
          <w:tcPr>
            <w:tcW w:w="203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3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50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22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7216938F" w14:textId="378465DA" w:rsidR="00E808D5" w:rsidRPr="00AE347B" w:rsidRDefault="00E808D5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DE4F8F">
        <w:tc>
          <w:tcPr>
            <w:tcW w:w="203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3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50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22" w:type="pct"/>
          </w:tcPr>
          <w:p w14:paraId="3FA95012" w14:textId="7FBB10D1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  <w:bookmarkStart w:id="0" w:name="_GoBack"/>
            <w:bookmarkEnd w:id="0"/>
          </w:p>
        </w:tc>
        <w:tc>
          <w:tcPr>
            <w:tcW w:w="1096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6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326A6A7F" w:rsidR="00AE347B" w:rsidRPr="00E808D5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2D921B4" w14:textId="77777777" w:rsidTr="00DE4F8F">
        <w:tc>
          <w:tcPr>
            <w:tcW w:w="203" w:type="pct"/>
          </w:tcPr>
          <w:p w14:paraId="330B98B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3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50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6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DE4F8F">
        <w:tc>
          <w:tcPr>
            <w:tcW w:w="203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3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50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22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6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DE4F8F">
        <w:tc>
          <w:tcPr>
            <w:tcW w:w="203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73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50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22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Fakültemize bağlı tüm alt birimlerin görev ve sorumlukları hem ilgili 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mevzuatlar ile belirlenmiş hem de Dekanlık Makamınca ilgililere tebliğ edilmiş, sürekli erişim içinde web sayfamızda yayımlanmıştır.</w:t>
            </w:r>
          </w:p>
        </w:tc>
        <w:tc>
          <w:tcPr>
            <w:tcW w:w="56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Günlük</w:t>
            </w:r>
          </w:p>
        </w:tc>
        <w:tc>
          <w:tcPr>
            <w:tcW w:w="887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260895E0" w:rsidR="00E808D5" w:rsidRPr="00E808D5" w:rsidRDefault="00E808D5" w:rsidP="008E2024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3DA6724" w14:textId="77777777" w:rsidTr="00DE4F8F">
        <w:tc>
          <w:tcPr>
            <w:tcW w:w="203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773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50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6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887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2C49CB4A" w:rsidR="00AE347B" w:rsidRPr="00AE347B" w:rsidRDefault="00AE347B" w:rsidP="008E2024">
            <w:pPr>
              <w:pStyle w:val="AralkYok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6F30600" w14:textId="77777777" w:rsidTr="00DE4F8F">
        <w:tc>
          <w:tcPr>
            <w:tcW w:w="203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3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50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22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6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887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302C3DC0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32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383"/>
        <w:gridCol w:w="4842"/>
        <w:gridCol w:w="3250"/>
        <w:gridCol w:w="4829"/>
      </w:tblGrid>
      <w:tr w:rsidR="00DE4F8F" w:rsidRPr="00A34BCD" w14:paraId="2E253EF4" w14:textId="77777777" w:rsidTr="00DE4F8F">
        <w:trPr>
          <w:trHeight w:val="301"/>
        </w:trPr>
        <w:tc>
          <w:tcPr>
            <w:tcW w:w="7225" w:type="dxa"/>
            <w:gridSpan w:val="2"/>
          </w:tcPr>
          <w:p w14:paraId="140F50A1" w14:textId="77777777" w:rsidR="00DE4F8F" w:rsidRPr="001E2007" w:rsidRDefault="00DE4F8F" w:rsidP="00DE4F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007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8079" w:type="dxa"/>
            <w:gridSpan w:val="2"/>
            <w:vAlign w:val="center"/>
          </w:tcPr>
          <w:p w14:paraId="2A94EBC2" w14:textId="77777777" w:rsidR="00DE4F8F" w:rsidRPr="008938FE" w:rsidRDefault="00DE4F8F" w:rsidP="00DE4F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Onaylanan</w:t>
            </w:r>
          </w:p>
        </w:tc>
      </w:tr>
      <w:tr w:rsidR="00DE4F8F" w:rsidRPr="00A34BCD" w14:paraId="11570B6F" w14:textId="77777777" w:rsidTr="00DE4F8F">
        <w:trPr>
          <w:trHeight w:val="404"/>
        </w:trPr>
        <w:tc>
          <w:tcPr>
            <w:tcW w:w="2383" w:type="dxa"/>
            <w:vAlign w:val="center"/>
          </w:tcPr>
          <w:p w14:paraId="65ECE96F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842" w:type="dxa"/>
            <w:vAlign w:val="center"/>
          </w:tcPr>
          <w:p w14:paraId="4CC43C83" w14:textId="32EF9161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Orhan Yener KAYTANCI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Fak.Sek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3250" w:type="dxa"/>
            <w:vAlign w:val="center"/>
          </w:tcPr>
          <w:p w14:paraId="1F524AB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829" w:type="dxa"/>
            <w:vAlign w:val="center"/>
          </w:tcPr>
          <w:p w14:paraId="330992F2" w14:textId="26FBABE5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Prof.Dr.Levent</w:t>
            </w:r>
            <w:proofErr w:type="spellEnd"/>
            <w:proofErr w:type="gramEnd"/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MERCİN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(Dekan)</w:t>
            </w:r>
          </w:p>
        </w:tc>
      </w:tr>
      <w:tr w:rsidR="00DE4F8F" w:rsidRPr="00A34BCD" w14:paraId="0B6CB40D" w14:textId="77777777" w:rsidTr="00DE4F8F">
        <w:trPr>
          <w:trHeight w:val="457"/>
        </w:trPr>
        <w:tc>
          <w:tcPr>
            <w:tcW w:w="2383" w:type="dxa"/>
            <w:vAlign w:val="center"/>
          </w:tcPr>
          <w:p w14:paraId="535E59AB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4842" w:type="dxa"/>
            <w:vAlign w:val="center"/>
          </w:tcPr>
          <w:p w14:paraId="65A2E5BD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14:paraId="35545DB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4829" w:type="dxa"/>
            <w:vAlign w:val="center"/>
          </w:tcPr>
          <w:p w14:paraId="009C68C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123A43F" w14:textId="77777777" w:rsidR="00DE4F8F" w:rsidRDefault="00DE4F8F" w:rsidP="00DE4F8F">
      <w:pPr>
        <w:jc w:val="both"/>
        <w:rPr>
          <w:sz w:val="16"/>
          <w:szCs w:val="16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37688"/>
    <w:rsid w:val="00375D06"/>
    <w:rsid w:val="00397B11"/>
    <w:rsid w:val="004F0F89"/>
    <w:rsid w:val="004F45F5"/>
    <w:rsid w:val="005211CE"/>
    <w:rsid w:val="006D0102"/>
    <w:rsid w:val="007D6076"/>
    <w:rsid w:val="00856DCA"/>
    <w:rsid w:val="008E2024"/>
    <w:rsid w:val="00952427"/>
    <w:rsid w:val="00AB2B4D"/>
    <w:rsid w:val="00AE347B"/>
    <w:rsid w:val="00BB467C"/>
    <w:rsid w:val="00D2197F"/>
    <w:rsid w:val="00DE4F8F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DPU_GSF</cp:lastModifiedBy>
  <cp:revision>7</cp:revision>
  <dcterms:created xsi:type="dcterms:W3CDTF">2025-10-23T11:04:00Z</dcterms:created>
  <dcterms:modified xsi:type="dcterms:W3CDTF">2025-10-23T13:38:00Z</dcterms:modified>
</cp:coreProperties>
</file>