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9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2964"/>
        <w:gridCol w:w="1964"/>
        <w:gridCol w:w="945"/>
        <w:gridCol w:w="1572"/>
        <w:tblGridChange w:id="0">
          <w:tblGrid>
            <w:gridCol w:w="1847"/>
            <w:gridCol w:w="2964"/>
            <w:gridCol w:w="1964"/>
            <w:gridCol w:w="945"/>
            <w:gridCol w:w="1572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pBdr>
                <w:right w:color="000000" w:space="4" w:sz="4" w:val="single"/>
              </w:pBd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DEKAN GÖREV TANIMI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DPÜ.TUBİF.GT.001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ofektadj34fc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04.12.2024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8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28"/>
        <w:gridCol w:w="6358"/>
        <w:tblGridChange w:id="0">
          <w:tblGrid>
            <w:gridCol w:w="2728"/>
            <w:gridCol w:w="6358"/>
          </w:tblGrid>
        </w:tblGridChange>
      </w:tblGrid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BİRİMİ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Tavşanlı Uygulamalı Birimler Fakültesi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ÜST MAKAM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Rektör Yardımcıları, Rektör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BAĞLI BİRİMLER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Fakülte Akademik ve İdari Personeli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TANIM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Fakültenin temsilcisi</w:t>
            </w:r>
          </w:p>
        </w:tc>
      </w:tr>
    </w:tbl>
    <w:p w:rsidR="00000000" w:rsidDel="00000000" w:rsidP="00000000" w:rsidRDefault="00000000" w:rsidRPr="00000000" w14:paraId="0000002B">
      <w:pPr>
        <w:pStyle w:val="Title"/>
        <w:ind w:firstLine="113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GÖREV, YETKİ VE SORUMLULUKLARI: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"/>
        </w:tabs>
        <w:spacing w:after="0" w:before="252" w:line="352" w:lineRule="auto"/>
        <w:ind w:left="397" w:right="537" w:hanging="284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Türkiye Cumhuriyeti Anayasasının 129. maddesi olan “Memurlar ve diğer kamu görevlileri Anayasa ve kanunlara sadık kalarak faaliyette bulunmakla yükümlüdürler” hükmüne uymak,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"/>
        </w:tabs>
        <w:spacing w:after="0" w:before="130" w:line="240" w:lineRule="auto"/>
        <w:ind w:left="396" w:right="0" w:hanging="283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657 sayılı “Devlet Memurları Kanunu”nun 2. bölümünde yer alan 6-16. maddelere uymak.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"/>
        </w:tabs>
        <w:spacing w:after="0" w:before="255" w:line="352" w:lineRule="auto"/>
        <w:ind w:left="397" w:right="536" w:hanging="284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2547 sayılı “Yükseköğretim Kanunu”nun 4. ve 5. maddelerinde belirtilen amaç ve ilkelere uygun hareket etmek.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"/>
        </w:tabs>
        <w:spacing w:after="0" w:before="127" w:line="352" w:lineRule="auto"/>
        <w:ind w:left="397" w:right="529" w:hanging="284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17609 “Üniversitelerde Akademik Teşkilât Yönetmeliği”nin 8.maddesinin b bendine ve 2547 sayılı “Yükseköğretim Kanunu”nun 16 maddesinin b bendine göre;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7"/>
        </w:tabs>
        <w:spacing w:after="0" w:before="130" w:line="333" w:lineRule="auto"/>
        <w:ind w:left="1107" w:right="533" w:hanging="35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Fakülte kurullarına başkanlık etmek, fakülte kurullarının kararlarını uygulamak ve fakülte birimleri arasında düzenli çalışmayı sağlamak,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7"/>
        </w:tabs>
        <w:spacing w:after="0" w:before="41" w:line="333" w:lineRule="auto"/>
        <w:ind w:left="1107" w:right="540" w:hanging="35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Her öğretim yılı sonunda ve istendiğinde fakültenin genel durumu ve işleyişi hakkında rektöre rapor vermek,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7"/>
        </w:tabs>
        <w:spacing w:after="0" w:before="41" w:line="348" w:lineRule="auto"/>
        <w:ind w:left="1107" w:right="534" w:hanging="35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Fakültenin ödenek ve kadro ihtiyaçlarını gerekçesi ile birlikte rektörlüğe bildirmek, fakülte bütçesi ile ilgili öneriyi fakülte yönetim kurulunun da görüşünü aldıktan sonra rektörlüğe sunmak,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7"/>
        </w:tabs>
        <w:spacing w:after="0" w:before="20" w:line="336" w:lineRule="auto"/>
        <w:ind w:left="1107" w:right="535" w:hanging="35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Fakültenin birimleri ve her düzeydeki personeli üzerinde genel gözetim ve denetim görevini sürdürmek,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7"/>
        </w:tabs>
        <w:spacing w:after="0" w:before="35" w:line="240" w:lineRule="auto"/>
        <w:ind w:left="1107" w:right="0" w:hanging="357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Kanun ve yönetmeliklerle kendisine verilen diğer görevleri yapmak,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7"/>
        </w:tabs>
        <w:spacing w:after="0" w:before="117" w:line="355" w:lineRule="auto"/>
        <w:ind w:left="1107" w:right="532" w:hanging="35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Fakültenin ve bağlı birimlerinin öğretim kapasitesinin rasyonel bir şekilde kullanılmasında ve geliştirilmesinde, gerektiği zaman güvenlik önlemlerinin alınmasında, öğrencilere gerekli sosyal hizmetlerin sağlanmasında, eğitim-öğretim, bilimsel araştırma ve yayın faaliyetlerinin düzenli bir şekilde yürütülmesinde, bütün faaliyetlerin gözetim ve denetiminin yapılmasında, takip ve kontrol edilmesinde ve sonuçlarının alınmasında rektöre karşı birinci derecede sorumludur.</w:t>
      </w:r>
    </w:p>
    <w:sectPr>
      <w:pgSz w:h="16840" w:w="1191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397" w:hanging="283.99999999999994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o"/>
      <w:lvlJc w:val="left"/>
      <w:pPr>
        <w:ind w:left="1107" w:hanging="358"/>
      </w:pPr>
      <w:rPr>
        <w:rFonts w:ascii="Courier New" w:cs="Courier New" w:eastAsia="Courier New" w:hAnsi="Courier New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2105" w:hanging="358"/>
      </w:pPr>
      <w:rPr/>
    </w:lvl>
    <w:lvl w:ilvl="3">
      <w:start w:val="0"/>
      <w:numFmt w:val="bullet"/>
      <w:lvlText w:val="•"/>
      <w:lvlJc w:val="left"/>
      <w:pPr>
        <w:ind w:left="3110" w:hanging="358"/>
      </w:pPr>
      <w:rPr/>
    </w:lvl>
    <w:lvl w:ilvl="4">
      <w:start w:val="0"/>
      <w:numFmt w:val="bullet"/>
      <w:lvlText w:val="•"/>
      <w:lvlJc w:val="left"/>
      <w:pPr>
        <w:ind w:left="4115" w:hanging="358"/>
      </w:pPr>
      <w:rPr/>
    </w:lvl>
    <w:lvl w:ilvl="5">
      <w:start w:val="0"/>
      <w:numFmt w:val="bullet"/>
      <w:lvlText w:val="•"/>
      <w:lvlJc w:val="left"/>
      <w:pPr>
        <w:ind w:left="5120" w:hanging="358"/>
      </w:pPr>
      <w:rPr/>
    </w:lvl>
    <w:lvl w:ilvl="6">
      <w:start w:val="0"/>
      <w:numFmt w:val="bullet"/>
      <w:lvlText w:val="•"/>
      <w:lvlJc w:val="left"/>
      <w:pPr>
        <w:ind w:left="6125" w:hanging="358"/>
      </w:pPr>
      <w:rPr/>
    </w:lvl>
    <w:lvl w:ilvl="7">
      <w:start w:val="0"/>
      <w:numFmt w:val="bullet"/>
      <w:lvlText w:val="•"/>
      <w:lvlJc w:val="left"/>
      <w:pPr>
        <w:ind w:left="7130" w:hanging="358"/>
      </w:pPr>
      <w:rPr/>
    </w:lvl>
    <w:lvl w:ilvl="8">
      <w:start w:val="0"/>
      <w:numFmt w:val="bullet"/>
      <w:lvlText w:val="•"/>
      <w:lvlJc w:val="left"/>
      <w:pPr>
        <w:ind w:left="8136" w:hanging="357.999999999999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21" w:lineRule="auto"/>
      <w:ind w:left="113"/>
    </w:pPr>
    <w:rPr>
      <w:b w:val="1"/>
      <w:bCs w:val="1"/>
      <w:sz w:val="24"/>
      <w:szCs w:val="24"/>
      <w:u w:val="single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GvdeMetni">
    <w:name w:val="Body Text"/>
    <w:basedOn w:val="Normal"/>
    <w:uiPriority w:val="1"/>
    <w:qFormat w:val="1"/>
    <w:pPr>
      <w:spacing w:before="41"/>
      <w:ind w:left="1107" w:hanging="358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 w:val="1"/>
    <w:pPr>
      <w:spacing w:before="41"/>
      <w:ind w:left="1107" w:hanging="358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spacing w:line="270" w:lineRule="exact"/>
      <w:ind w:left="107"/>
    </w:pPr>
  </w:style>
  <w:style w:type="table" w:styleId="TabloKlavuzu">
    <w:name w:val="Table Grid"/>
    <w:basedOn w:val="NormalTablo"/>
    <w:uiPriority w:val="39"/>
    <w:rsid w:val="004035D3"/>
    <w:pPr>
      <w:widowControl w:val="1"/>
      <w:autoSpaceDE w:val="1"/>
      <w:autoSpaceDN w:val="1"/>
    </w:pPr>
    <w:rPr>
      <w:lang w:val="tr-T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Bodytext3" w:customStyle="1">
    <w:name w:val="Body text (3)_"/>
    <w:basedOn w:val="VarsaylanParagrafYazTipi"/>
    <w:link w:val="Bodytext30"/>
    <w:rsid w:val="00A72D5A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paragraph" w:styleId="Bodytext30" w:customStyle="1">
    <w:name w:val="Body text (3)"/>
    <w:basedOn w:val="Normal"/>
    <w:link w:val="Bodytext3"/>
    <w:rsid w:val="00A72D5A"/>
    <w:pPr>
      <w:widowControl w:val="1"/>
      <w:shd w:color="auto" w:fill="ffffff" w:val="clear"/>
      <w:autoSpaceDE w:val="1"/>
      <w:autoSpaceDN w:val="1"/>
      <w:spacing w:after="240" w:before="300" w:line="274" w:lineRule="exact"/>
      <w:ind w:hanging="1440"/>
      <w:jc w:val="both"/>
    </w:pPr>
    <w:rPr>
      <w:sz w:val="23"/>
      <w:szCs w:val="23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Ja0yvjCeSFdG6qQZCa39hDTK6g==">CgMxLjAyDmgub2Zla3RhZGozNGZjOAByITFJQ2lNWWZ0VmJhQjZQSnZKelkwRTFTUXhTSFJJWWR4Sw==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2024-10-15T08:19:00Z</dcterms:created>
  <dc:creator>Filiz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2016</vt:lpwstr>
  </property>
</Properties>
</file>