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rsidTr="005008C4">
        <w:tc>
          <w:tcPr>
            <w:tcW w:w="10173" w:type="dxa"/>
            <w:gridSpan w:val="15"/>
            <w:tcBorders>
              <w:top w:val="nil"/>
              <w:left w:val="nil"/>
              <w:bottom w:val="nil"/>
              <w:right w:val="nil"/>
            </w:tcBorders>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T.C.</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DUMLUPINAR ÜNİVERSİTESİ</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rsidTr="005008C4">
        <w:tc>
          <w:tcPr>
            <w:tcW w:w="3010" w:type="dxa"/>
            <w:gridSpan w:val="3"/>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tcBorders>
              <w:bottom w:val="single" w:sz="4" w:space="0" w:color="auto"/>
            </w:tcBorders>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rsidR="00EB09AF" w:rsidRPr="00EA0AA6" w:rsidRDefault="00EB09AF" w:rsidP="00A32114">
            <w:pPr>
              <w:jc w:val="cente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145F80" w:rsidRPr="00EA0AA6" w:rsidTr="005008C4">
        <w:trPr>
          <w:trHeight w:val="454"/>
        </w:trPr>
        <w:tc>
          <w:tcPr>
            <w:tcW w:w="3010" w:type="dxa"/>
            <w:gridSpan w:val="3"/>
            <w:vAlign w:val="center"/>
          </w:tcPr>
          <w:p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 xml:space="preserve">Tel./ </w:t>
            </w:r>
            <w:proofErr w:type="spellStart"/>
            <w:r w:rsidRPr="00EA0AA6">
              <w:rPr>
                <w:rFonts w:ascii="Times New Roman" w:hAnsi="Times New Roman" w:cs="Times New Roman"/>
                <w:sz w:val="24"/>
                <w:szCs w:val="24"/>
              </w:rPr>
              <w:t>Fax</w:t>
            </w:r>
            <w:proofErr w:type="spellEnd"/>
            <w:r w:rsidRPr="00EA0AA6">
              <w:rPr>
                <w:rFonts w:ascii="Times New Roman" w:hAnsi="Times New Roman" w:cs="Times New Roman"/>
                <w:sz w:val="24"/>
                <w:szCs w:val="24"/>
              </w:rPr>
              <w:t xml:space="preserve"> / e-mail</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rPr>
          <w:trHeight w:val="70"/>
        </w:trPr>
        <w:tc>
          <w:tcPr>
            <w:tcW w:w="10173" w:type="dxa"/>
            <w:gridSpan w:val="15"/>
            <w:tcBorders>
              <w:bottom w:val="nil"/>
            </w:tcBorders>
            <w:vAlign w:val="center"/>
          </w:tcPr>
          <w:p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iş</w:t>
            </w:r>
            <w:proofErr w:type="gramEnd"/>
            <w:r w:rsidRPr="00EA0AA6">
              <w:rPr>
                <w:rFonts w:ascii="Times New Roman" w:hAnsi="Times New Roman" w:cs="Times New Roman"/>
                <w:sz w:val="24"/>
                <w:szCs w:val="24"/>
              </w:rPr>
              <w:t xml:space="preserve">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rsidTr="005008C4">
        <w:trPr>
          <w:trHeight w:val="70"/>
        </w:trPr>
        <w:tc>
          <w:tcPr>
            <w:tcW w:w="10173" w:type="dxa"/>
            <w:gridSpan w:val="15"/>
            <w:tcBorders>
              <w:top w:val="nil"/>
              <w:bottom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5008C4">
        <w:trPr>
          <w:trHeight w:val="454"/>
        </w:trPr>
        <w:tc>
          <w:tcPr>
            <w:tcW w:w="4527" w:type="dxa"/>
            <w:gridSpan w:val="5"/>
            <w:tcBorders>
              <w:top w:val="nil"/>
              <w:right w:val="nil"/>
            </w:tcBorders>
          </w:tcPr>
          <w:p w:rsidR="005008C4" w:rsidRPr="00EA0AA6" w:rsidRDefault="005008C4" w:rsidP="005008C4">
            <w:pPr>
              <w:jc w:val="center"/>
              <w:rPr>
                <w:rFonts w:ascii="Times New Roman" w:hAnsi="Times New Roman" w:cs="Times New Roman"/>
                <w:color w:val="BFBFBF" w:themeColor="background1" w:themeShade="BF"/>
                <w:sz w:val="24"/>
                <w:szCs w:val="24"/>
              </w:rPr>
            </w:pPr>
            <w:r w:rsidRPr="00EA0AA6">
              <w:rPr>
                <w:rFonts w:ascii="Times New Roman" w:hAnsi="Times New Roman" w:cs="Times New Roman"/>
                <w:sz w:val="24"/>
                <w:szCs w:val="24"/>
              </w:rPr>
              <w:t xml:space="preserve">Tarih: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p>
          <w:p w:rsidR="005008C4" w:rsidRPr="00EA0AA6" w:rsidRDefault="005008C4" w:rsidP="005008C4">
            <w:pPr>
              <w:jc w:val="center"/>
              <w:rPr>
                <w:rFonts w:ascii="Times New Roman" w:hAnsi="Times New Roman" w:cs="Times New Roman"/>
                <w:color w:val="BFBFBF" w:themeColor="background1" w:themeShade="BF"/>
                <w:sz w:val="24"/>
                <w:szCs w:val="24"/>
              </w:rPr>
            </w:pPr>
          </w:p>
          <w:p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rsidR="005008C4" w:rsidRPr="00EA0AA6" w:rsidRDefault="005008C4" w:rsidP="005008C4">
            <w:pPr>
              <w:jc w:val="cente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p w:rsidR="005008C4" w:rsidRPr="00EA0AA6" w:rsidRDefault="005008C4" w:rsidP="00CF4D49">
            <w:pP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bottom w:val="single" w:sz="4" w:space="0" w:color="auto"/>
            </w:tcBorders>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5008C4">
            <w:pPr>
              <w:rPr>
                <w:rFonts w:ascii="Times New Roman" w:hAnsi="Times New Roman" w:cs="Times New Roman"/>
                <w:sz w:val="24"/>
                <w:szCs w:val="24"/>
              </w:rPr>
            </w:pPr>
          </w:p>
          <w:p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5008C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BF49A1">
        <w:trPr>
          <w:trHeight w:val="454"/>
        </w:trPr>
        <w:tc>
          <w:tcPr>
            <w:tcW w:w="10173" w:type="dxa"/>
            <w:gridSpan w:val="15"/>
            <w:tcBorders>
              <w:top w:val="nil"/>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F49A1">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bl>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lastRenderedPageBreak/>
        <w:t>DUMLUPINAR ÜNİVERSİTESİ</w:t>
      </w:r>
    </w:p>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Dumlupınar Üniversitesine bağlı ilgili Fakülteleri,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 Dumlupınar Üniversitesine bağlı ilgili Meslek Yüksekokulları,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Dumlupınar Üniversitesi Rektörünü,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 Dumlupınar Üniversitesini,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Dumlupınar Üniversitesi Staj Yönergesini,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Dumlupınar Üniversitesine bağlı ilgili Yüksekokulları ifade eder.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Dumlupınar Üniversitesi öğrencilerinin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 lisans öğrenimlerini tamamlamak amacıyla yapılır. Staj zorunluluğu bulunan bölümler veya programlar, ilgili bölüm veya programların isteği üzerine birim yönetim kurullarının önerisiyle Üniversite Senatosunca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veya lisans öğrenim süresi boyunca toplam 30 iş gününden az olmayacak şekilde birim yönetim kurullarınca belirlenir. Bu süre, ilgili birimin staj komisyonlarınca yıllara dağıtılır.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“Dumlupınar Üniversitesi Staj Yönergesi” yürürlükten kalkar.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öğrencilerine uygulanmak üzere Dumlupınar Üniversitesi Senatosunda kabul edildikten sonra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Dumlupınar Üniversitesi Rektörü yürütür.</w:t>
      </w:r>
    </w:p>
    <w:p w:rsidR="00121FC0" w:rsidRPr="00EA0AA6" w:rsidRDefault="00121FC0" w:rsidP="00121FC0">
      <w:pPr>
        <w:spacing w:after="0"/>
        <w:jc w:val="both"/>
        <w:rPr>
          <w:rFonts w:ascii="Times New Roman" w:hAnsi="Times New Roman" w:cs="Times New Roman"/>
          <w:b/>
        </w:rPr>
      </w:pPr>
    </w:p>
    <w:p w:rsidR="00EA0AA6" w:rsidRPr="00EA0AA6" w:rsidRDefault="00EA0AA6" w:rsidP="00EA0AA6">
      <w:pPr>
        <w:pStyle w:val="GvdeMetniGirintisi"/>
        <w:spacing w:line="276" w:lineRule="auto"/>
        <w:ind w:hanging="18"/>
      </w:pPr>
    </w:p>
    <w:p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Dumlupınar Üniversitesi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Dumlupınar Üniversitesi Senatosu’nun 23.05.2008 tarih ve 7 sayılı toplantısında kabul edilen Dumlupınar Üniversitesi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Bölümlerimiz, Üniversitemiz Senatosunun 23.05.2008 tarih ve 07 </w:t>
      </w:r>
      <w:proofErr w:type="spellStart"/>
      <w:r w:rsidRPr="00EA0AA6">
        <w:rPr>
          <w:rFonts w:ascii="Times New Roman" w:hAnsi="Times New Roman" w:cs="Times New Roman"/>
        </w:rPr>
        <w:t>no’lu</w:t>
      </w:r>
      <w:proofErr w:type="spellEnd"/>
      <w:r w:rsidRPr="00EA0AA6">
        <w:rPr>
          <w:rFonts w:ascii="Times New Roman" w:hAnsi="Times New Roman" w:cs="Times New Roman"/>
        </w:rPr>
        <w:t xml:space="preserve"> toplantısında kabul edilen 08.Sen.40 sayılı “Dumlupınar Üniversitesi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ve “Fakültemiz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w:t>
      </w:r>
      <w:proofErr w:type="spellStart"/>
      <w:r w:rsidRPr="00EA0AA6">
        <w:rPr>
          <w:rFonts w:ascii="Times New Roman" w:hAnsi="Times New Roman" w:cs="Times New Roman"/>
        </w:rPr>
        <w:t>laboratuarlarında</w:t>
      </w:r>
      <w:proofErr w:type="spellEnd"/>
      <w:r w:rsidRPr="00EA0AA6">
        <w:rPr>
          <w:rFonts w:ascii="Times New Roman" w:hAnsi="Times New Roman" w:cs="Times New Roman"/>
        </w:rPr>
        <w:t xml:space="preserve"> staj yapabilirler. Fakülte Yönetim Kurulu’nca staj çalışmalarının yürütülmesini ve denetimini sağlamak üzere komisyon veya yürütücü öğretim elemanları görevlendirilebilir.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(d) </w:t>
      </w:r>
      <w:proofErr w:type="gramStart"/>
      <w:r w:rsidRPr="00EA0AA6">
        <w:rPr>
          <w:rFonts w:ascii="Times New Roman" w:hAnsi="Times New Roman" w:cs="Times New Roman"/>
        </w:rPr>
        <w:t>Yaz okulu</w:t>
      </w:r>
      <w:proofErr w:type="gramEnd"/>
      <w:r w:rsidRPr="00EA0AA6">
        <w:rPr>
          <w:rFonts w:ascii="Times New Roman" w:hAnsi="Times New Roman" w:cs="Times New Roman"/>
        </w:rPr>
        <w:t xml:space="preserve"> döneminde staj yapacak öğrencilerin yaz okulunda ders kayıtlarının olmaması gerekir. </w:t>
      </w:r>
      <w:proofErr w:type="gramStart"/>
      <w:r w:rsidRPr="00EA0AA6">
        <w:rPr>
          <w:rFonts w:ascii="Times New Roman" w:hAnsi="Times New Roman" w:cs="Times New Roman"/>
        </w:rPr>
        <w:t xml:space="preserve">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w:t>
      </w:r>
      <w:proofErr w:type="gramEnd"/>
      <w:r w:rsidRPr="00EA0AA6">
        <w:rPr>
          <w:rFonts w:ascii="Times New Roman" w:hAnsi="Times New Roman" w:cs="Times New Roman"/>
        </w:rPr>
        <w:t>Aksi durumda staj başlangıç tarihi akademik takvimde belirtilen bütünleme sınavlarının bitimini takip eden ilk iş günüdür. (14.01.2014 tarih ve 01/01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 xml:space="preserve">(e) Bahsedilen durumlar dışında staj dönemi ile eğitim, öğretim veya sınav dönemleri asla çakışmamalıdır.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w:t>
      </w:r>
      <w:proofErr w:type="spellStart"/>
      <w:r w:rsidRPr="00EA0AA6">
        <w:rPr>
          <w:rFonts w:ascii="Times New Roman" w:hAnsi="Times New Roman" w:cs="Times New Roman"/>
        </w:rPr>
        <w:t>Fişi’nde</w:t>
      </w:r>
      <w:proofErr w:type="spellEnd"/>
      <w:r w:rsidRPr="00EA0AA6">
        <w:rPr>
          <w:rFonts w:ascii="Times New Roman" w:hAnsi="Times New Roman" w:cs="Times New Roman"/>
        </w:rPr>
        <w:t xml:space="preserve"> belirtilirse, öğrencinin stajı iptal edilir ve hakkında disiplin işlemleri başlatılır</w:t>
      </w:r>
      <w:r w:rsidRPr="00EA0AA6">
        <w:rPr>
          <w:rFonts w:ascii="Times New Roman" w:hAnsi="Times New Roman" w:cs="Times New Roman"/>
          <w:b/>
        </w:rPr>
        <w:t>.</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w:t>
      </w:r>
      <w:proofErr w:type="spellStart"/>
      <w:r w:rsidRPr="00EA0AA6">
        <w:rPr>
          <w:rFonts w:ascii="Times New Roman" w:hAnsi="Times New Roman" w:cs="Times New Roman"/>
        </w:rPr>
        <w:t>Fişi’nin</w:t>
      </w:r>
      <w:proofErr w:type="spellEnd"/>
      <w:r w:rsidRPr="00EA0AA6">
        <w:rPr>
          <w:rFonts w:ascii="Times New Roman" w:hAnsi="Times New Roman" w:cs="Times New Roman"/>
        </w:rPr>
        <w:t xml:space="preserve"> mutlaka Bölüme gelmiş olması gerekir. Belgenin Bölüme ulaşmasından öğrenci sorumludur.</w:t>
      </w:r>
    </w:p>
    <w:p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rsidR="00EA0AA6" w:rsidRDefault="00EA0AA6" w:rsidP="00EA0AA6">
      <w:pPr>
        <w:jc w:val="both"/>
        <w:rPr>
          <w:rFonts w:ascii="Times New Roman" w:hAnsi="Times New Roman" w:cs="Times New Roman"/>
          <w:i/>
        </w:rPr>
      </w:pPr>
    </w:p>
    <w:p w:rsidR="00EA0AA6" w:rsidRDefault="00EA0AA6" w:rsidP="00EA0AA6">
      <w:pPr>
        <w:jc w:val="both"/>
        <w:rPr>
          <w:rFonts w:ascii="Times New Roman" w:hAnsi="Times New Roman" w:cs="Times New Roman"/>
          <w:i/>
        </w:rPr>
      </w:pPr>
    </w:p>
    <w:p w:rsidR="00EA0AA6" w:rsidRPr="00EA0AA6" w:rsidRDefault="00EA0AA6" w:rsidP="00EA0AA6">
      <w:pPr>
        <w:jc w:val="both"/>
        <w:rPr>
          <w:rFonts w:ascii="Times New Roman" w:hAnsi="Times New Roman" w:cs="Times New Roman"/>
          <w:strike/>
          <w:color w:val="FF0000"/>
        </w:rPr>
      </w:pP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lastRenderedPageBreak/>
        <w:t>Staj Sonrası</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18-</w:t>
      </w:r>
      <w:r w:rsidRPr="00EA0AA6">
        <w:rPr>
          <w:rFonts w:ascii="Times New Roman" w:hAnsi="Times New Roman" w:cs="Times New Roman"/>
        </w:rPr>
        <w:t xml:space="preserve"> İş yeri tarafından doldurulan ve onaylanan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notlardan herhangi birinin (F) olması durumunda öğrencinin stajı iptal edilir.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her bir (D) notu için yapılan stajın iş günü olarak %20’si; her bir (C) notu için ise %10’u geçersiz sayılır (Staj Sicil Fişi değerlendirmelerinde A:Pekiyi, B:İyi, C:Orta, D:Yeterli, F:Yetersiz olarak alınacaktır.)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w:t>
      </w:r>
      <w:proofErr w:type="spellStart"/>
      <w:r w:rsidRPr="00EA0AA6">
        <w:rPr>
          <w:rFonts w:ascii="Times New Roman" w:hAnsi="Times New Roman" w:cs="Times New Roman"/>
        </w:rPr>
        <w:t>red</w:t>
      </w:r>
      <w:proofErr w:type="spellEnd"/>
      <w:r w:rsidRPr="00EA0AA6">
        <w:rPr>
          <w:rFonts w:ascii="Times New Roman" w:hAnsi="Times New Roman" w:cs="Times New Roman"/>
        </w:rPr>
        <w:t xml:space="preserve"> edilen stajlar için gerekçeli rapor hazırlanarak Staj Değerlendirme Tutanağına eklenir.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stajları Bölüm Staj Komisyonu’nca değerlendirilmeye alınır ve Bölüm Başkanının onayı ile uygun görülen staj bölümleri (grupları) veya iş günleri, lisans seviyesinde yapacağı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 lisans eğitiminde yaptıkları stajları Bölüm Staj Komisyonu’nca değerlendirilir ve Bölüm Başkanının onayı ile uygun görülen staj bölümleri (grupları) veya iş günleri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 xml:space="preserve">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programı öğrencilerinin, çift </w:t>
      </w:r>
      <w:proofErr w:type="spellStart"/>
      <w:r w:rsidRPr="00EA0AA6">
        <w:rPr>
          <w:rFonts w:ascii="Times New Roman" w:hAnsi="Times New Roman" w:cs="Times New Roman"/>
        </w:rPr>
        <w:t>anadalı</w:t>
      </w:r>
      <w:proofErr w:type="spellEnd"/>
      <w:r w:rsidRPr="00EA0AA6">
        <w:rPr>
          <w:rFonts w:ascii="Times New Roman" w:hAnsi="Times New Roman" w:cs="Times New Roman"/>
        </w:rPr>
        <w:t xml:space="preserve"> ve kendi lisans programı stajlarının uyumluluk göstermesi halinde, 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bölümlerinde yapacakları stajlarının uyumlu olanlarının, Bölüm Staj Komisyonunun teklifi, Bölüm Başkanlığı onayı ve Fakülte Yönetim Kurulu’nun kararı ile muafiyetleri yapılabilir.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rsidR="005036FF" w:rsidRPr="00EA0AA6" w:rsidRDefault="005036FF" w:rsidP="00121FC0">
      <w:pPr>
        <w:spacing w:after="0"/>
        <w:jc w:val="both"/>
        <w:rPr>
          <w:rFonts w:ascii="Times New Roman" w:hAnsi="Times New Roman" w:cs="Times New Roman"/>
        </w:rPr>
      </w:pPr>
    </w:p>
    <w:p w:rsidR="009D4EDF" w:rsidRPr="00EA0AA6" w:rsidRDefault="009D4EDF" w:rsidP="00121FC0">
      <w:pPr>
        <w:spacing w:after="0" w:line="360" w:lineRule="auto"/>
        <w:jc w:val="both"/>
        <w:rPr>
          <w:rFonts w:ascii="Times New Roman" w:hAnsi="Times New Roman" w:cs="Times New Roman"/>
        </w:rPr>
      </w:pPr>
    </w:p>
    <w:p w:rsidR="00681FC6" w:rsidRPr="00EA0AA6" w:rsidRDefault="009D4EDF" w:rsidP="009D4EDF">
      <w:pPr>
        <w:jc w:val="center"/>
        <w:rPr>
          <w:rFonts w:ascii="Times New Roman" w:hAnsi="Times New Roman" w:cs="Times New Roman"/>
          <w:b/>
        </w:rPr>
      </w:pPr>
      <w:proofErr w:type="gramStart"/>
      <w:r w:rsidRPr="00EA0AA6">
        <w:rPr>
          <w:rFonts w:ascii="Times New Roman" w:hAnsi="Times New Roman" w:cs="Times New Roman"/>
          <w:b/>
        </w:rPr>
        <w:t>……………………………………</w:t>
      </w:r>
      <w:proofErr w:type="gramEnd"/>
      <w:r w:rsidRPr="00EA0AA6">
        <w:rPr>
          <w:rFonts w:ascii="Times New Roman" w:hAnsi="Times New Roman" w:cs="Times New Roman"/>
          <w:b/>
        </w:rPr>
        <w:t xml:space="preserve"> MÜHENDİSLİĞİ BÖLÜMÜ</w:t>
      </w:r>
    </w:p>
    <w:p w:rsidR="009D4EDF" w:rsidRPr="00EA0AA6" w:rsidRDefault="009D4EDF" w:rsidP="009D4EDF">
      <w:pPr>
        <w:jc w:val="center"/>
        <w:rPr>
          <w:rFonts w:ascii="Times New Roman" w:hAnsi="Times New Roman" w:cs="Times New Roman"/>
          <w:b/>
        </w:rPr>
      </w:pPr>
      <w:r w:rsidRPr="00EA0AA6">
        <w:rPr>
          <w:rFonts w:ascii="Times New Roman" w:hAnsi="Times New Roman" w:cs="Times New Roman"/>
          <w:b/>
        </w:rPr>
        <w:t>STAJ YÖNERGESİ</w:t>
      </w:r>
    </w:p>
    <w:p w:rsidR="005008C4" w:rsidRDefault="005008C4">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0"/>
      </w:tblGrid>
      <w:tr w:rsidR="009B7C40" w:rsidTr="009B7C40">
        <w:tc>
          <w:tcPr>
            <w:tcW w:w="9210" w:type="dxa"/>
          </w:tcPr>
          <w:p w:rsidR="009B7C40" w:rsidRDefault="009B7C40">
            <w:pPr>
              <w:rPr>
                <w:rFonts w:ascii="Times New Roman" w:hAnsi="Times New Roman" w:cs="Times New Roman"/>
              </w:rPr>
            </w:pPr>
          </w:p>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9B7C40">
                  <w:pPr>
                    <w:rPr>
                      <w:rFonts w:ascii="Times New Roman" w:hAnsi="Times New Roman" w:cs="Times New Roman"/>
                      <w:i/>
                    </w:rPr>
                  </w:pPr>
                  <w:r w:rsidRPr="00F80143">
                    <w:rPr>
                      <w:rFonts w:ascii="Times New Roman" w:hAnsi="Times New Roman" w:cs="Times New Roman"/>
                      <w:i/>
                    </w:rPr>
                    <w:t xml:space="preserve">KISIM           : </w:t>
                  </w:r>
                  <w:proofErr w:type="gramStart"/>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SAYFA NO: </w:t>
                  </w:r>
                  <w:proofErr w:type="gramStart"/>
                  <w:r w:rsidRPr="00F80143">
                    <w:rPr>
                      <w:rFonts w:ascii="Times New Roman" w:hAnsi="Times New Roman" w:cs="Times New Roman"/>
                      <w:i/>
                      <w:color w:val="BFBFBF" w:themeColor="background1" w:themeShade="BF"/>
                    </w:rPr>
                    <w:t>……..</w:t>
                  </w:r>
                  <w:proofErr w:type="gramEnd"/>
                </w:p>
              </w:tc>
            </w:tr>
          </w:tbl>
          <w:p w:rsidR="009B7C40" w:rsidRDefault="009B7C40"/>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F80143">
                  <w:pPr>
                    <w:rPr>
                      <w:rFonts w:ascii="Times New Roman" w:hAnsi="Times New Roman" w:cs="Times New Roman"/>
                      <w:i/>
                    </w:rPr>
                  </w:pPr>
                  <w:r w:rsidRPr="00F80143">
                    <w:rPr>
                      <w:rFonts w:ascii="Times New Roman" w:hAnsi="Times New Roman" w:cs="Times New Roman"/>
                      <w:i/>
                    </w:rPr>
                    <w:t xml:space="preserve">YAPILAN İŞ : </w:t>
                  </w:r>
                  <w:proofErr w:type="gramStart"/>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sidR="00F80143">
                    <w:rPr>
                      <w:rFonts w:ascii="Times New Roman" w:hAnsi="Times New Roman" w:cs="Times New Roman"/>
                      <w:i/>
                      <w:color w:val="BFBFBF" w:themeColor="background1" w:themeShade="BF"/>
                    </w:rPr>
                    <w:t xml:space="preserve">  </w:t>
                  </w:r>
                  <w:r w:rsidRPr="00F80143">
                    <w:rPr>
                      <w:rFonts w:ascii="Times New Roman" w:hAnsi="Times New Roman" w:cs="Times New Roman"/>
                      <w:i/>
                    </w:rPr>
                    <w:t xml:space="preserve">Tarih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F80143" w:rsidRPr="00F80143" w:rsidRDefault="00F80143" w:rsidP="00F80143">
                  <w:pPr>
                    <w:rPr>
                      <w:rFonts w:ascii="Times New Roman" w:hAnsi="Times New Roman" w:cs="Times New Roman"/>
                      <w:i/>
                    </w:rPr>
                  </w:pPr>
                  <w:r w:rsidRPr="00F80143">
                    <w:rPr>
                      <w:rFonts w:ascii="Times New Roman" w:hAnsi="Times New Roman" w:cs="Times New Roman"/>
                      <w:i/>
                    </w:rPr>
                    <w:t xml:space="preserve">Kontrol Eden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İmza : </w:t>
                  </w:r>
                  <w:proofErr w:type="gramStart"/>
                  <w:r w:rsidRP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p>
              </w:tc>
            </w:tr>
          </w:tbl>
          <w:p w:rsidR="009B7C40" w:rsidRDefault="009B7C40">
            <w:pPr>
              <w:rPr>
                <w:rFonts w:ascii="Times New Roman" w:hAnsi="Times New Roman" w:cs="Times New Roman"/>
              </w:rPr>
            </w:pPr>
            <w:bookmarkStart w:id="0" w:name="_GoBack"/>
            <w:bookmarkEnd w:id="0"/>
          </w:p>
        </w:tc>
      </w:tr>
    </w:tbl>
    <w:p w:rsidR="009B7C40" w:rsidRPr="00EA0AA6" w:rsidRDefault="009B7C40">
      <w:pPr>
        <w:rPr>
          <w:rFonts w:ascii="Times New Roman" w:hAnsi="Times New Roman" w:cs="Times New Roman"/>
        </w:rPr>
      </w:pPr>
    </w:p>
    <w:sectPr w:rsidR="009B7C40" w:rsidRPr="00EA0AA6" w:rsidSect="00145F80">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3D" w:rsidRDefault="00920D3D" w:rsidP="00CF4D49">
      <w:pPr>
        <w:spacing w:after="0" w:line="240" w:lineRule="auto"/>
      </w:pPr>
      <w:r>
        <w:separator/>
      </w:r>
    </w:p>
  </w:endnote>
  <w:endnote w:type="continuationSeparator" w:id="0">
    <w:p w:rsidR="00920D3D" w:rsidRDefault="00920D3D"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852"/>
      <w:docPartObj>
        <w:docPartGallery w:val="Page Numbers (Bottom of Page)"/>
        <w:docPartUnique/>
      </w:docPartObj>
    </w:sdtPr>
    <w:sdtEndPr/>
    <w:sdtContent>
      <w:p w:rsidR="00CF4D49" w:rsidRDefault="00920D3D">
        <w:pPr>
          <w:pStyle w:val="Altbilgi"/>
          <w:jc w:val="right"/>
        </w:pPr>
        <w:r>
          <w:fldChar w:fldCharType="begin"/>
        </w:r>
        <w:r>
          <w:instrText xml:space="preserve"> PAGE   \* MERGEFORMAT </w:instrText>
        </w:r>
        <w:r>
          <w:fldChar w:fldCharType="separate"/>
        </w:r>
        <w:r w:rsidR="00F80143">
          <w:rPr>
            <w:noProof/>
          </w:rPr>
          <w:t>10</w:t>
        </w:r>
        <w:r>
          <w:rPr>
            <w:noProof/>
          </w:rPr>
          <w:fldChar w:fldCharType="end"/>
        </w:r>
      </w:p>
    </w:sdtContent>
  </w:sdt>
  <w:p w:rsidR="00CF4D49" w:rsidRDefault="00CF4D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3D" w:rsidRDefault="00920D3D" w:rsidP="00CF4D49">
      <w:pPr>
        <w:spacing w:after="0" w:line="240" w:lineRule="auto"/>
      </w:pPr>
      <w:r>
        <w:separator/>
      </w:r>
    </w:p>
  </w:footnote>
  <w:footnote w:type="continuationSeparator" w:id="0">
    <w:p w:rsidR="00920D3D" w:rsidRDefault="00920D3D" w:rsidP="00CF4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114"/>
    <w:rsid w:val="00121FC0"/>
    <w:rsid w:val="00145F80"/>
    <w:rsid w:val="00163904"/>
    <w:rsid w:val="00363BF2"/>
    <w:rsid w:val="004B3662"/>
    <w:rsid w:val="005008C4"/>
    <w:rsid w:val="005036FF"/>
    <w:rsid w:val="005F4187"/>
    <w:rsid w:val="006979D7"/>
    <w:rsid w:val="006E2CF8"/>
    <w:rsid w:val="00716468"/>
    <w:rsid w:val="007D2D9A"/>
    <w:rsid w:val="00920D3D"/>
    <w:rsid w:val="009B7C40"/>
    <w:rsid w:val="009D4EDF"/>
    <w:rsid w:val="00A32114"/>
    <w:rsid w:val="00BF49A1"/>
    <w:rsid w:val="00BF559E"/>
    <w:rsid w:val="00C55283"/>
    <w:rsid w:val="00CF4D49"/>
    <w:rsid w:val="00D64A4B"/>
    <w:rsid w:val="00E0008A"/>
    <w:rsid w:val="00EA0AA6"/>
    <w:rsid w:val="00EB09AF"/>
    <w:rsid w:val="00F80143"/>
    <w:rsid w:val="00F97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32128-95D0-47CD-A6E1-1E7D53D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F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F276A-D31F-4C3D-85E6-D123DC98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2806</Words>
  <Characters>15996</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Cengiz Cinaz</cp:lastModifiedBy>
  <cp:revision>14</cp:revision>
  <dcterms:created xsi:type="dcterms:W3CDTF">2015-11-29T09:08:00Z</dcterms:created>
  <dcterms:modified xsi:type="dcterms:W3CDTF">2016-08-16T05:58:00Z</dcterms:modified>
</cp:coreProperties>
</file>