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0"/>
        <w:gridCol w:w="1512"/>
        <w:gridCol w:w="393"/>
        <w:gridCol w:w="2434"/>
        <w:gridCol w:w="2580"/>
        <w:gridCol w:w="2649"/>
        <w:gridCol w:w="1049"/>
        <w:gridCol w:w="368"/>
        <w:gridCol w:w="1258"/>
        <w:gridCol w:w="922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383BA249" w:rsidR="006D0102" w:rsidRPr="00AE347B" w:rsidRDefault="006F56D4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>
              <w:rPr>
                <w:b/>
                <w:color w:val="EE0000"/>
                <w:szCs w:val="20"/>
                <w:lang w:val="tr-TR"/>
              </w:rPr>
              <w:t xml:space="preserve"> MİMARLIK </w:t>
            </w:r>
            <w:r w:rsidR="001B2909" w:rsidRPr="00AE347B">
              <w:rPr>
                <w:b/>
                <w:color w:val="EE0000"/>
                <w:szCs w:val="20"/>
                <w:lang w:val="tr-TR"/>
              </w:rPr>
              <w:t>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0679D0" w:rsidR="006D0102" w:rsidRPr="00FB115C" w:rsidRDefault="00FB115C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23/10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4545872C" w:rsidR="006D0102" w:rsidRPr="00FB115C" w:rsidRDefault="006D0102" w:rsidP="006F56D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="00FB115C" w:rsidRPr="00FB115C">
              <w:rPr>
                <w:sz w:val="20"/>
                <w:szCs w:val="20"/>
              </w:rPr>
              <w:t xml:space="preserve"> </w:t>
            </w:r>
            <w:r w:rsidR="006F56D4" w:rsidRPr="006F56D4">
              <w:rPr>
                <w:sz w:val="20"/>
                <w:szCs w:val="20"/>
              </w:rPr>
              <w:t>https://mimarli</w:t>
            </w:r>
            <w:bookmarkStart w:id="0" w:name="_GoBack"/>
            <w:bookmarkEnd w:id="0"/>
            <w:r w:rsidR="006F56D4" w:rsidRPr="006F56D4">
              <w:rPr>
                <w:sz w:val="20"/>
                <w:szCs w:val="20"/>
              </w:rPr>
              <w:t>k.dpu.edu.tr/tr/index/sayfa/16458/ic-kontrol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440BCA68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r w:rsidR="006F56D4">
              <w:rPr>
                <w:color w:val="000000" w:themeColor="text1"/>
                <w:sz w:val="20"/>
                <w:szCs w:val="20"/>
              </w:rPr>
              <w:t>MİMARLIK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21"/>
        <w:gridCol w:w="2365"/>
        <w:gridCol w:w="2908"/>
        <w:gridCol w:w="1597"/>
        <w:gridCol w:w="3355"/>
        <w:gridCol w:w="1743"/>
        <w:gridCol w:w="3282"/>
      </w:tblGrid>
      <w:tr w:rsidR="00AE347B" w:rsidRPr="00AE347B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4F45F5">
        <w:tc>
          <w:tcPr>
            <w:tcW w:w="196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16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4F45F5">
        <w:tc>
          <w:tcPr>
            <w:tcW w:w="196" w:type="pct"/>
          </w:tcPr>
          <w:p w14:paraId="731AFB4E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5F575C6B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9331754" w14:textId="77777777" w:rsidTr="004F45F5">
        <w:tc>
          <w:tcPr>
            <w:tcW w:w="196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4F45F5">
        <w:tc>
          <w:tcPr>
            <w:tcW w:w="196" w:type="pct"/>
          </w:tcPr>
          <w:p w14:paraId="2812AAC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4F45F5">
        <w:tc>
          <w:tcPr>
            <w:tcW w:w="196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VE YAZI İŞLERİ</w:t>
            </w:r>
          </w:p>
          <w:p w14:paraId="0B908877" w14:textId="4352887E" w:rsidR="00AE347B" w:rsidRDefault="006F56D4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Ersin SABAN</w:t>
            </w:r>
          </w:p>
          <w:p w14:paraId="538D2297" w14:textId="33DD215B" w:rsidR="00E808D5" w:rsidRP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360CFB8D" w14:textId="77777777" w:rsidTr="004F45F5">
        <w:tc>
          <w:tcPr>
            <w:tcW w:w="196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745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Dekanlığımıza iletilen kararlar titizlikle ilgili personellerce uygulanmakta ve takibi yapılmaktadır.</w:t>
            </w:r>
          </w:p>
        </w:tc>
        <w:tc>
          <w:tcPr>
            <w:tcW w:w="54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7A508DF7" w:rsidR="00E808D5" w:rsidRPr="00E808D5" w:rsidRDefault="006F56D4" w:rsidP="00E808D5">
            <w:pPr>
              <w:pStyle w:val="AralkYok"/>
              <w:numPr>
                <w:ilvl w:val="0"/>
                <w:numId w:val="6"/>
              </w:numPr>
              <w:ind w:left="337" w:hanging="1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İlyas AKAR</w:t>
            </w: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4F45F5">
        <w:tc>
          <w:tcPr>
            <w:tcW w:w="196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5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56FF60DB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left="322" w:hanging="1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6F56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Burhan BİLGİÇ</w:t>
            </w:r>
          </w:p>
          <w:p w14:paraId="47E16019" w14:textId="413BD9AC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AE347B" w:rsidRPr="00AE347B" w14:paraId="4EECC71E" w14:textId="77777777" w:rsidTr="004F45F5">
        <w:tc>
          <w:tcPr>
            <w:tcW w:w="196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35D3C197" w14:textId="1E339FB5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3D8296AE" w14:textId="37E8D071" w:rsidR="006F56D4" w:rsidRPr="00AE347B" w:rsidRDefault="006F56D4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Burhan BİLGİÇ</w:t>
            </w:r>
          </w:p>
          <w:p w14:paraId="17B67D2C" w14:textId="301A69B6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4F45F5">
        <w:tc>
          <w:tcPr>
            <w:tcW w:w="196" w:type="pct"/>
          </w:tcPr>
          <w:p w14:paraId="6C9FA45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34767995" w14:textId="57B83CA7" w:rsidR="00E808D5" w:rsidRPr="00E808D5" w:rsidRDefault="006F56D4" w:rsidP="00E808D5">
            <w:pPr>
              <w:pStyle w:val="AralkYok"/>
              <w:numPr>
                <w:ilvl w:val="0"/>
                <w:numId w:val="5"/>
              </w:numPr>
              <w:ind w:left="322" w:firstLine="15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Burhan BİLGİÇ</w:t>
            </w:r>
          </w:p>
          <w:p w14:paraId="1359DC1C" w14:textId="005636E0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4F45F5">
        <w:tc>
          <w:tcPr>
            <w:tcW w:w="196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16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03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Her yıl kurum olarak, ilgili tüm paydaşlardan faaliyet alanlarımıza yönelik talepler toplanmakta ilgili yılın Temmuz ayında tahmini bütçe teklifler üst makama iletilmektedir.</w:t>
            </w:r>
          </w:p>
        </w:tc>
        <w:tc>
          <w:tcPr>
            <w:tcW w:w="54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7C5D3D00" w:rsidR="00AE347B" w:rsidRPr="00E808D5" w:rsidRDefault="006F56D4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İlyas AKAR</w:t>
            </w:r>
          </w:p>
        </w:tc>
      </w:tr>
      <w:tr w:rsidR="00AE347B" w:rsidRPr="00AE347B" w14:paraId="76443B73" w14:textId="77777777" w:rsidTr="004F45F5">
        <w:tc>
          <w:tcPr>
            <w:tcW w:w="196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5F7A6107" w:rsidR="00AE347B" w:rsidRPr="00E808D5" w:rsidRDefault="006F56D4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İlyas AKAR</w:t>
            </w:r>
          </w:p>
        </w:tc>
      </w:tr>
      <w:tr w:rsidR="00AE347B" w:rsidRPr="00AE347B" w14:paraId="0822243A" w14:textId="77777777" w:rsidTr="004F45F5">
        <w:tc>
          <w:tcPr>
            <w:tcW w:w="196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dekanlıkça takip edilmekte,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4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4F45F5">
        <w:tc>
          <w:tcPr>
            <w:tcW w:w="196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4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4F45F5">
        <w:tc>
          <w:tcPr>
            <w:tcW w:w="196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745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16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4F45F5">
        <w:tc>
          <w:tcPr>
            <w:tcW w:w="196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45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kağıtlar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hazır hale getirilmekte, toner ve kağıt 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4F45F5">
        <w:tc>
          <w:tcPr>
            <w:tcW w:w="196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16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Bu hususta Üniversitemiz bünyesinde ilgili koordinatörlük ile birlikte çalışılmakta, bölüm kurulu kararları bölümlerce takip edilmektedir.</w:t>
            </w:r>
          </w:p>
        </w:tc>
        <w:tc>
          <w:tcPr>
            <w:tcW w:w="54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4F45F5">
        <w:tc>
          <w:tcPr>
            <w:tcW w:w="196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5DA65336" w14:textId="4361E6E5" w:rsidR="00AE347B" w:rsidRDefault="006F56D4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Ahmet Ali AYGÜN</w:t>
            </w:r>
          </w:p>
          <w:p w14:paraId="50D32844" w14:textId="52F110B9" w:rsidR="00E808D5" w:rsidRDefault="006F56D4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Burak ÇETİNARSLAN</w:t>
            </w:r>
          </w:p>
          <w:p w14:paraId="4FBC96E3" w14:textId="17AF3512" w:rsidR="00E808D5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4677C" w14:textId="232FDCBE" w:rsidR="00E808D5" w:rsidRPr="00AE347B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727BB13" w14:textId="77777777" w:rsidTr="004F45F5">
        <w:tc>
          <w:tcPr>
            <w:tcW w:w="196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16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03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444B6E69" w14:textId="77777777" w:rsidR="006F56D4" w:rsidRDefault="006F56D4" w:rsidP="006F56D4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Ahmet Ali AYGÜN</w:t>
            </w:r>
          </w:p>
          <w:p w14:paraId="1CD7877E" w14:textId="77777777" w:rsidR="006F56D4" w:rsidRDefault="006F56D4" w:rsidP="006F56D4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Burak ÇETİNARSLAN</w:t>
            </w:r>
          </w:p>
          <w:p w14:paraId="7216938F" w14:textId="793368E1" w:rsidR="00E808D5" w:rsidRP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AB6D4B9" w14:textId="77777777" w:rsidTr="004F45F5">
        <w:tc>
          <w:tcPr>
            <w:tcW w:w="196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45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68FC3207" w:rsidR="00AE347B" w:rsidRPr="00E808D5" w:rsidRDefault="006F56D4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Ersin SABAN</w:t>
            </w:r>
          </w:p>
        </w:tc>
      </w:tr>
      <w:tr w:rsidR="00AE347B" w:rsidRPr="00AE347B" w14:paraId="02D921B4" w14:textId="77777777" w:rsidTr="004F45F5">
        <w:tc>
          <w:tcPr>
            <w:tcW w:w="196" w:type="pct"/>
          </w:tcPr>
          <w:p w14:paraId="330B98B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5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4F45F5">
        <w:tc>
          <w:tcPr>
            <w:tcW w:w="196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5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4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4F45F5">
        <w:tc>
          <w:tcPr>
            <w:tcW w:w="196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745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16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03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4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051602A8" w:rsidR="00E808D5" w:rsidRPr="00E808D5" w:rsidRDefault="006F56D4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İlyas AKAR</w:t>
            </w:r>
          </w:p>
        </w:tc>
      </w:tr>
      <w:tr w:rsidR="00AE347B" w:rsidRPr="00AE347B" w14:paraId="33DA6724" w14:textId="77777777" w:rsidTr="004F45F5">
        <w:tc>
          <w:tcPr>
            <w:tcW w:w="196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45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16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4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6FC8A736" w:rsidR="00AE347B" w:rsidRPr="00AE347B" w:rsidRDefault="006F56D4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İlyas AKAR</w:t>
            </w:r>
          </w:p>
        </w:tc>
      </w:tr>
      <w:tr w:rsidR="00AE347B" w:rsidRPr="00AE347B" w14:paraId="26F30600" w14:textId="77777777" w:rsidTr="004F45F5">
        <w:tc>
          <w:tcPr>
            <w:tcW w:w="196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5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16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03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4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1197A0C0" w:rsidR="00AE347B" w:rsidRPr="00AE347B" w:rsidRDefault="006F56D4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İlyas AKAR</w:t>
            </w: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544D83CC" w14:textId="21F28202" w:rsidR="00FB115C" w:rsidRPr="00101172" w:rsidRDefault="00FB115C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1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</w:t>
            </w:r>
          </w:p>
        </w:tc>
        <w:tc>
          <w:tcPr>
            <w:tcW w:w="2640" w:type="pct"/>
            <w:gridSpan w:val="3"/>
          </w:tcPr>
          <w:p w14:paraId="71EE89FD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B028A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790158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51E8AA" w14:textId="77777777" w:rsidR="00FB115C" w:rsidRPr="00AE347B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75D06"/>
    <w:rsid w:val="00397B11"/>
    <w:rsid w:val="004F0F89"/>
    <w:rsid w:val="004F45F5"/>
    <w:rsid w:val="005211CE"/>
    <w:rsid w:val="006D0102"/>
    <w:rsid w:val="006F56D4"/>
    <w:rsid w:val="007D6076"/>
    <w:rsid w:val="00856DCA"/>
    <w:rsid w:val="00952427"/>
    <w:rsid w:val="00AB2B4D"/>
    <w:rsid w:val="00AE347B"/>
    <w:rsid w:val="00BB467C"/>
    <w:rsid w:val="00D2197F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5</cp:revision>
  <dcterms:created xsi:type="dcterms:W3CDTF">2025-10-23T11:04:00Z</dcterms:created>
  <dcterms:modified xsi:type="dcterms:W3CDTF">2025-10-23T12:50:00Z</dcterms:modified>
</cp:coreProperties>
</file>